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620BBC30" w14:textId="715CAA15" w:rsidR="00B04B45" w:rsidRPr="000A1647" w:rsidRDefault="00B04B45" w:rsidP="00B04B45">
      <w:pPr>
        <w:keepNext/>
        <w:keepLines/>
        <w:tabs>
          <w:tab w:val="start" w:pos="99.25pt"/>
        </w:tabs>
        <w:rPr>
          <w:rFonts w:ascii="Arial" w:hAnsi="Arial" w:cs="Arial"/>
          <w:b/>
          <w:kern w:val="2"/>
          <w:sz w:val="24"/>
          <w:lang w:val="en-US"/>
        </w:rPr>
      </w:pPr>
      <w:r w:rsidRPr="000A1647">
        <w:rPr>
          <w:rFonts w:ascii="Arial" w:hAnsi="Arial" w:cs="Arial"/>
          <w:b/>
          <w:kern w:val="2"/>
          <w:sz w:val="24"/>
          <w:lang w:val="en-US"/>
        </w:rPr>
        <w:t>3GPP TSG-RAN WG2 Meeting #122</w:t>
      </w:r>
      <w:r w:rsidRPr="000A1647">
        <w:rPr>
          <w:rFonts w:ascii="Arial" w:hAnsi="Arial" w:cs="Arial"/>
          <w:b/>
          <w:kern w:val="2"/>
          <w:sz w:val="24"/>
          <w:lang w:val="en-US"/>
        </w:rPr>
        <w:tab/>
      </w:r>
      <w:r>
        <w:rPr>
          <w:rFonts w:ascii="Arial" w:hAnsi="Arial" w:cs="Arial"/>
          <w:b/>
          <w:kern w:val="2"/>
          <w:sz w:val="24"/>
          <w:lang w:val="en-US"/>
        </w:rPr>
        <w:tab/>
      </w:r>
      <w:r>
        <w:rPr>
          <w:rFonts w:ascii="Arial" w:hAnsi="Arial" w:cs="Arial"/>
          <w:b/>
          <w:kern w:val="2"/>
          <w:sz w:val="24"/>
          <w:lang w:val="en-US"/>
        </w:rPr>
        <w:tab/>
      </w:r>
      <w:r w:rsidRPr="000A1647">
        <w:rPr>
          <w:rFonts w:ascii="Arial" w:hAnsi="Arial" w:cs="Arial"/>
          <w:b/>
          <w:kern w:val="2"/>
          <w:sz w:val="24"/>
          <w:lang w:val="en-US"/>
        </w:rPr>
        <w:t>R2-2</w:t>
      </w:r>
      <w:r w:rsidR="00F035C3">
        <w:rPr>
          <w:rFonts w:ascii="Arial" w:hAnsi="Arial" w:cs="Arial"/>
          <w:b/>
          <w:kern w:val="2"/>
          <w:sz w:val="24"/>
          <w:lang w:val="en-US"/>
        </w:rPr>
        <w:t>30</w:t>
      </w:r>
      <w:r w:rsidR="00013367">
        <w:rPr>
          <w:rFonts w:ascii="Arial" w:hAnsi="Arial" w:cs="Arial"/>
          <w:b/>
          <w:kern w:val="2"/>
          <w:sz w:val="24"/>
          <w:lang w:val="en-US"/>
        </w:rPr>
        <w:t>5125</w:t>
      </w:r>
    </w:p>
    <w:p w14:paraId="773F5806" w14:textId="77777777" w:rsidR="00B04B45" w:rsidRDefault="00B04B45" w:rsidP="00B04B45">
      <w:pPr>
        <w:keepNext/>
        <w:keepLines/>
        <w:tabs>
          <w:tab w:val="start" w:pos="99.25pt"/>
        </w:tabs>
        <w:rPr>
          <w:rFonts w:ascii="Arial" w:hAnsi="Arial" w:cs="Arial"/>
          <w:b/>
          <w:kern w:val="2"/>
          <w:sz w:val="24"/>
          <w:lang w:val="en-US"/>
        </w:rPr>
      </w:pPr>
      <w:r w:rsidRPr="000A1647">
        <w:rPr>
          <w:rFonts w:ascii="Arial" w:hAnsi="Arial" w:cs="Arial"/>
          <w:b/>
          <w:kern w:val="2"/>
          <w:sz w:val="24"/>
          <w:lang w:val="en-US"/>
        </w:rPr>
        <w:t>Incheon, Korea, May 22-26, 2023</w:t>
      </w:r>
      <w:r>
        <w:rPr>
          <w:rFonts w:ascii="Arial" w:hAnsi="Arial" w:cs="Arial"/>
          <w:b/>
          <w:kern w:val="2"/>
          <w:sz w:val="24"/>
          <w:lang w:val="en-US"/>
        </w:rPr>
        <w:tab/>
      </w:r>
    </w:p>
    <w:p w14:paraId="5420CF2C" w14:textId="77777777" w:rsidR="002E527F" w:rsidRPr="0037005F" w:rsidRDefault="002E527F" w:rsidP="002E527F">
      <w:pPr>
        <w:tabs>
          <w:tab w:val="start" w:pos="99.25pt"/>
        </w:tabs>
        <w:overflowPunct/>
        <w:autoSpaceDE/>
        <w:autoSpaceDN/>
        <w:adjustRightInd/>
        <w:spacing w:after="6pt"/>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Source:</w:t>
      </w:r>
      <w:r w:rsidRPr="0037005F">
        <w:rPr>
          <w:rFonts w:ascii="Arial" w:eastAsia="Times New Roman" w:hAnsi="Arial" w:cs="Arial"/>
          <w:b/>
          <w:bCs/>
          <w:color w:val="auto"/>
          <w:sz w:val="24"/>
          <w:lang w:eastAsia="en-US"/>
        </w:rPr>
        <w:tab/>
        <w:t>Qualcomm Incorporated</w:t>
      </w:r>
    </w:p>
    <w:p w14:paraId="09B8A188" w14:textId="77777777" w:rsidR="002E527F" w:rsidRPr="0037005F" w:rsidRDefault="002E527F" w:rsidP="002E527F">
      <w:pPr>
        <w:overflowPunct/>
        <w:autoSpaceDE/>
        <w:autoSpaceDN/>
        <w:adjustRightInd/>
        <w:ind w:start="99.25pt" w:hanging="99.25pt"/>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Title:</w:t>
      </w:r>
      <w:r w:rsidRPr="0037005F">
        <w:rPr>
          <w:rFonts w:ascii="Arial" w:eastAsia="Times New Roman" w:hAnsi="Arial" w:cs="Arial"/>
          <w:b/>
          <w:bCs/>
          <w:color w:val="auto"/>
          <w:sz w:val="24"/>
          <w:lang w:eastAsia="en-US"/>
        </w:rPr>
        <w:tab/>
      </w:r>
      <w:r>
        <w:rPr>
          <w:rFonts w:ascii="Arial" w:eastAsia="Times New Roman" w:hAnsi="Arial" w:cs="Arial"/>
          <w:b/>
          <w:bCs/>
          <w:color w:val="auto"/>
          <w:sz w:val="24"/>
          <w:lang w:eastAsia="en-US"/>
        </w:rPr>
        <w:t>FDM IDC Enhancements</w:t>
      </w:r>
    </w:p>
    <w:p w14:paraId="0B198A05" w14:textId="77777777" w:rsidR="002E527F" w:rsidRPr="0037005F" w:rsidRDefault="002E527F" w:rsidP="002E527F">
      <w:pPr>
        <w:overflowPunct/>
        <w:autoSpaceDE/>
        <w:autoSpaceDN/>
        <w:adjustRightInd/>
        <w:ind w:start="99.25pt" w:hanging="99.25pt"/>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WID:</w:t>
      </w:r>
      <w:r w:rsidRPr="0037005F">
        <w:rPr>
          <w:rFonts w:ascii="Arial" w:eastAsia="Times New Roman" w:hAnsi="Arial" w:cs="Arial"/>
          <w:b/>
          <w:bCs/>
          <w:color w:val="auto"/>
          <w:sz w:val="24"/>
          <w:lang w:eastAsia="en-US"/>
        </w:rPr>
        <w:tab/>
      </w:r>
      <w:r w:rsidRPr="00680164">
        <w:rPr>
          <w:rFonts w:ascii="Arial" w:hAnsi="Arial" w:cs="Arial"/>
          <w:b/>
          <w:bCs/>
          <w:color w:val="auto"/>
          <w:sz w:val="24"/>
          <w:szCs w:val="24"/>
        </w:rPr>
        <w:t>NR_IDC_enh-Core</w:t>
      </w:r>
    </w:p>
    <w:p w14:paraId="6DD08A5A" w14:textId="77777777" w:rsidR="002E527F" w:rsidRPr="00383F56" w:rsidRDefault="002E527F" w:rsidP="002E527F">
      <w:pPr>
        <w:tabs>
          <w:tab w:val="start" w:pos="99.25pt"/>
        </w:tabs>
        <w:overflowPunct/>
        <w:autoSpaceDE/>
        <w:autoSpaceDN/>
        <w:adjustRightInd/>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Document for:</w:t>
      </w:r>
      <w:r w:rsidRPr="0037005F">
        <w:rPr>
          <w:rFonts w:ascii="Arial" w:eastAsia="Times New Roman" w:hAnsi="Arial" w:cs="Arial"/>
          <w:b/>
          <w:bCs/>
          <w:color w:val="auto"/>
          <w:sz w:val="24"/>
          <w:lang w:eastAsia="en-US"/>
        </w:rPr>
        <w:tab/>
        <w:t>Discussion</w:t>
      </w:r>
      <w:r>
        <w:rPr>
          <w:rFonts w:ascii="Arial" w:eastAsia="Times New Roman" w:hAnsi="Arial" w:cs="Arial"/>
          <w:b/>
          <w:bCs/>
          <w:color w:val="auto"/>
          <w:sz w:val="24"/>
          <w:lang w:eastAsia="en-US"/>
        </w:rPr>
        <w:t xml:space="preserve"> and Decision</w:t>
      </w:r>
    </w:p>
    <w:p w14:paraId="745882CC" w14:textId="77777777" w:rsidR="00CD1FF7" w:rsidRPr="00383F56" w:rsidRDefault="00C51902" w:rsidP="00AE3E14">
      <w:pPr>
        <w:pStyle w:val="Heading1"/>
      </w:pPr>
      <w:r>
        <w:t xml:space="preserve">Introduction </w:t>
      </w:r>
    </w:p>
    <w:p w14:paraId="029EBFBA" w14:textId="77777777" w:rsidR="000F44B8" w:rsidRDefault="003363B9" w:rsidP="00AB75BC">
      <w:bookmarkStart w:id="0" w:name="_Hlk528770372"/>
      <w:r>
        <w:t>In this contribution, w</w:t>
      </w:r>
      <w:r w:rsidR="008A2DF1">
        <w:t xml:space="preserve">e </w:t>
      </w:r>
      <w:r w:rsidR="002F28C8">
        <w:t xml:space="preserve">discuss </w:t>
      </w:r>
      <w:r w:rsidR="00680164">
        <w:t xml:space="preserve">FDM solutions that can be used to enhance </w:t>
      </w:r>
      <w:r w:rsidR="00585033">
        <w:t>the existing IDC solutions in Rel-</w:t>
      </w:r>
      <w:proofErr w:type="gramStart"/>
      <w:r w:rsidR="00585033">
        <w:t>18</w:t>
      </w:r>
      <w:r w:rsidR="00680164">
        <w:t xml:space="preserve"> </w:t>
      </w:r>
      <w:r w:rsidR="00B41A64">
        <w:t>.</w:t>
      </w:r>
      <w:proofErr w:type="gramEnd"/>
    </w:p>
    <w:p w14:paraId="1F2E008A" w14:textId="77777777" w:rsidR="00D13CD9" w:rsidRDefault="00013367" w:rsidP="00AB75BC">
      <w:pPr>
        <w:rPr>
          <w:noProof/>
        </w:rPr>
      </w:pPr>
      <w:r>
        <w:rPr>
          <w:noProof/>
        </w:rPr>
        <mc:AlternateContent>
          <mc:Choice Requires="v">
            <w:pict w14:anchorId="0A264380">
              <v:shapetype id="_x0000_t202" coordsize="21600,21600" o:spt="202" path="m,l,21600r21600,l21600,xe">
                <v:stroke joinstyle="miter"/>
                <v:path gradientshapeok="t" o:connecttype="rect"/>
              </v:shapetype>
              <v:shape id="Text Box 2" o:spid="_x0000_s2213" type="#_x0000_t202" style="position:absolute;margin-left:0;margin-top:34.8pt;width:466.75pt;height:165.2pt;z-index:251657728;visibility:visible;mso-height-percent:200;mso-wrap-distance-top:3.6pt;mso-wrap-distance-bottom:3.6pt;mso-position-horizontal:center;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style="mso-next-textbox:#Text Box 2;mso-fit-shape-to-text:t">
                  <w:txbxContent>
                    <w:p w14:paraId="7381F3B1" w14:textId="77777777" w:rsidR="00D13CD9" w:rsidRPr="00CD6619" w:rsidRDefault="00D13CD9" w:rsidP="00D13CD9">
                      <w:r w:rsidRPr="00CD6619">
                        <w:t xml:space="preserve">This WI expects to address </w:t>
                      </w:r>
                      <w:r>
                        <w:t>i</w:t>
                      </w:r>
                      <w:r w:rsidRPr="00CD6619">
                        <w:t xml:space="preserve">nterference between 3GPP (including various MR-DC architectures, </w:t>
                      </w:r>
                      <w:proofErr w:type="gramStart"/>
                      <w:r w:rsidRPr="00CD6619">
                        <w:t>i.e.</w:t>
                      </w:r>
                      <w:proofErr w:type="gramEnd"/>
                      <w:r w:rsidRPr="00CD6619">
                        <w:t xml:space="preserve"> NR-DC and EN-DC) and </w:t>
                      </w:r>
                      <w:r>
                        <w:t>non-3GPP</w:t>
                      </w:r>
                      <w:r w:rsidRPr="00CD6619">
                        <w:t xml:space="preserve"> RAT (e.g. WiFi).</w:t>
                      </w:r>
                    </w:p>
                    <w:p w14:paraId="5B6EC99B" w14:textId="77777777" w:rsidR="00D13CD9" w:rsidRPr="00B760DA" w:rsidRDefault="00D13CD9" w:rsidP="00D13CD9">
                      <w:pPr>
                        <w:pStyle w:val="ListParagraph"/>
                        <w:numPr>
                          <w:ilvl w:val="0"/>
                          <w:numId w:val="31"/>
                        </w:numPr>
                        <w:overflowPunct w:val="0"/>
                        <w:autoSpaceDE w:val="0"/>
                        <w:autoSpaceDN w:val="0"/>
                        <w:adjustRightInd w:val="0"/>
                        <w:spacing w:after="9pt"/>
                        <w:contextualSpacing/>
                        <w:textAlignment w:val="baseline"/>
                      </w:pPr>
                      <w:r w:rsidRPr="00B760DA">
                        <w:t>Enhancements to FDM solution, to allow more granular indication of affected frequencies (</w:t>
                      </w:r>
                      <w:proofErr w:type="gramStart"/>
                      <w:r w:rsidRPr="00B760DA">
                        <w:t>e.g.</w:t>
                      </w:r>
                      <w:proofErr w:type="gramEnd"/>
                      <w:r w:rsidRPr="00B760DA">
                        <w:t xml:space="preserve"> granularity of BWP or PRB level). (RAN2)</w:t>
                      </w:r>
                    </w:p>
                    <w:p w14:paraId="44392656" w14:textId="77777777" w:rsidR="00D13CD9" w:rsidRPr="00CD6619" w:rsidRDefault="00D13CD9" w:rsidP="00D13CD9">
                      <w:pPr>
                        <w:pStyle w:val="ListParagraph"/>
                      </w:pPr>
                      <w:r w:rsidRPr="00CD6619">
                        <w:t xml:space="preserve">Note: Enhancements to FDM solution is </w:t>
                      </w:r>
                      <w:r>
                        <w:t>prioritized</w:t>
                      </w:r>
                      <w:r w:rsidRPr="00CD6619">
                        <w:t>.</w:t>
                      </w:r>
                    </w:p>
                    <w:p w14:paraId="5F8081B7" w14:textId="77777777" w:rsidR="00D13CD9" w:rsidRPr="00CD6619" w:rsidRDefault="00D13CD9" w:rsidP="00D13CD9">
                      <w:pPr>
                        <w:pStyle w:val="ListParagraph"/>
                        <w:numPr>
                          <w:ilvl w:val="0"/>
                          <w:numId w:val="31"/>
                        </w:numPr>
                        <w:overflowPunct w:val="0"/>
                        <w:autoSpaceDE w:val="0"/>
                        <w:autoSpaceDN w:val="0"/>
                        <w:adjustRightInd w:val="0"/>
                        <w:spacing w:after="9pt"/>
                        <w:contextualSpacing/>
                        <w:textAlignment w:val="baseline"/>
                      </w:pPr>
                      <w:r w:rsidRPr="00B760DA">
                        <w:rPr>
                          <w:highlight w:val="yellow"/>
                        </w:rPr>
                        <w:t>Introduction of TDM solution (</w:t>
                      </w:r>
                      <w:proofErr w:type="gramStart"/>
                      <w:r w:rsidRPr="00B760DA">
                        <w:rPr>
                          <w:highlight w:val="yellow"/>
                        </w:rPr>
                        <w:t>e.g.</w:t>
                      </w:r>
                      <w:proofErr w:type="gramEnd"/>
                      <w:r w:rsidRPr="00B760DA">
                        <w:rPr>
                          <w:highlight w:val="yellow"/>
                        </w:rPr>
                        <w:t xml:space="preserve"> indication of UE preferred TDM pattern for UL/DL). (RAN2, RAN4).</w:t>
                      </w:r>
                      <w:r w:rsidRPr="00CD6619">
                        <w:br/>
                        <w:t>Note: The TDM solution is considered complementary to the FDM solution.</w:t>
                      </w:r>
                    </w:p>
                    <w:p w14:paraId="5FFD2677" w14:textId="77777777" w:rsidR="00D13CD9" w:rsidRDefault="00D13CD9" w:rsidP="00D13CD9">
                      <w:pPr>
                        <w:pStyle w:val="ListParagraph"/>
                        <w:numPr>
                          <w:ilvl w:val="0"/>
                          <w:numId w:val="31"/>
                        </w:numPr>
                        <w:overflowPunct w:val="0"/>
                        <w:autoSpaceDE w:val="0"/>
                        <w:autoSpaceDN w:val="0"/>
                        <w:adjustRightInd w:val="0"/>
                        <w:spacing w:after="9pt"/>
                        <w:contextualSpacing/>
                        <w:textAlignment w:val="baseline"/>
                      </w:pPr>
                      <w:r>
                        <w:t>Specify RRM requirements for TDM solution (RAN4)</w:t>
                      </w:r>
                    </w:p>
                    <w:p w14:paraId="0DB98D08" w14:textId="77777777" w:rsidR="00D13CD9" w:rsidRDefault="00D13CD9">
                      <w:r w:rsidRPr="00CD6619">
                        <w:t xml:space="preserve">Note: </w:t>
                      </w:r>
                      <w:r w:rsidRPr="00A65F3F">
                        <w:rPr>
                          <w:highlight w:val="yellow"/>
                        </w:rPr>
                        <w:t>LTE IDC solution should be considered as the baseline for the solutions developed in this WI.</w:t>
                      </w:r>
                    </w:p>
                  </w:txbxContent>
                </v:textbox>
                <w10:wrap type="square"/>
              </v:shape>
            </w:pict>
          </mc:Choice>
          <mc:Fallback>
            <w:drawing>
              <wp:anchor distT="45720" distB="45720" distL="114300" distR="114300" simplePos="0" relativeHeight="251659264" behindDoc="0" locked="0" layoutInCell="1" allowOverlap="1" wp14:anchorId="160830EC" wp14:editId="392A0CE2">
                <wp:simplePos x="0" y="0"/>
                <wp:positionH relativeFrom="column">
                  <wp:align>center</wp:align>
                </wp:positionH>
                <wp:positionV relativeFrom="paragraph">
                  <wp:posOffset>441960</wp:posOffset>
                </wp:positionV>
                <wp:extent cx="5927725" cy="2098040"/>
                <wp:effectExtent l="9525" t="13335" r="6350" b="12700"/>
                <wp:wrapSquare wrapText="bothSides"/>
                <wp:docPr id="1" name="Text Box 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27725" cy="2098040"/>
                        </a:xfrm>
                        <a:prstGeom prst="rect">
                          <a:avLst/>
                        </a:prstGeom>
                        <a:solidFill>
                          <a:srgbClr val="FFFFFF"/>
                        </a:solidFill>
                        <a:ln w="9525">
                          <a:solidFill>
                            <a:srgbClr val="000000"/>
                          </a:solidFill>
                          <a:miter lim="800%"/>
                          <a:headEnd/>
                          <a:tailEnd/>
                        </a:ln>
                      </wp:spPr>
                      <wp:txbx>
                        <wne:txbxContent>
                          <w:p w14:paraId="5349936B" w14:textId="77777777" w:rsidR="0022730F" w:rsidRPr="00CD6619" w:rsidRDefault="0022730F" w:rsidP="00D13CD9">
                            <w:r w:rsidRPr="00CD6619">
                              <w:t xml:space="preserve">This WI expects to address </w:t>
                            </w:r>
                            <w:r>
                              <w:t>i</w:t>
                            </w:r>
                            <w:r w:rsidRPr="00CD6619">
                              <w:t xml:space="preserve">nterference between 3GPP (including various MR-DC architectures, i.e. NR-DC and EN-DC) and </w:t>
                            </w:r>
                            <w:r>
                              <w:t>non-3GPP</w:t>
                            </w:r>
                            <w:r w:rsidRPr="00CD6619">
                              <w:t xml:space="preserve"> RAT (e.g. WiFi).</w:t>
                            </w:r>
                          </w:p>
                          <w:p w14:paraId="48A946DD" w14:textId="77777777" w:rsidR="0022730F" w:rsidRPr="00B760DA" w:rsidRDefault="0022730F" w:rsidP="00D13CD9">
                            <w:pPr>
                              <w:pStyle w:val="ListParagraph"/>
                              <w:numPr>
                                <w:ilvl w:val="0"/>
                                <w:numId w:val="31"/>
                              </w:numPr>
                              <w:tabs>
                                <w:tab w:val="num" w:pos="18pt"/>
                              </w:tabs>
                              <w:overflowPunct w:val="0"/>
                              <w:autoSpaceDE w:val="0"/>
                              <w:autoSpaceDN w:val="0"/>
                              <w:adjustRightInd w:val="0"/>
                              <w:spacing w:after="9pt"/>
                              <w:ind w:start="0pt" w:firstLine="0pt"/>
                              <w:contextualSpacing/>
                              <w:textAlignment w:val="baseline"/>
                            </w:pPr>
                            <w:r w:rsidRPr="00B760DA">
                              <w:t>Enhancements to FDM solution, to allow more granular indication of affected frequencies (e.g. granularity of BWP or PRB level). (RAN2)</w:t>
                            </w:r>
                          </w:p>
                          <w:p w14:paraId="211061B5" w14:textId="77777777" w:rsidR="0022730F" w:rsidRPr="00CD6619" w:rsidRDefault="0022730F" w:rsidP="00D13CD9">
                            <w:pPr>
                              <w:pStyle w:val="ListParagraph"/>
                            </w:pPr>
                            <w:r w:rsidRPr="00CD6619">
                              <w:t xml:space="preserve">Note: Enhancements to FDM solution is </w:t>
                            </w:r>
                            <w:r>
                              <w:t>prioritized</w:t>
                            </w:r>
                            <w:r w:rsidRPr="00CD6619">
                              <w:t>.</w:t>
                            </w:r>
                          </w:p>
                          <w:p w14:paraId="0C8112EE" w14:textId="77777777" w:rsidR="0022730F" w:rsidRPr="00CD6619" w:rsidRDefault="0022730F" w:rsidP="00D13CD9">
                            <w:pPr>
                              <w:pStyle w:val="ListParagraph"/>
                              <w:numPr>
                                <w:ilvl w:val="0"/>
                                <w:numId w:val="31"/>
                              </w:numPr>
                              <w:tabs>
                                <w:tab w:val="num" w:pos="18pt"/>
                              </w:tabs>
                              <w:overflowPunct w:val="0"/>
                              <w:autoSpaceDE w:val="0"/>
                              <w:autoSpaceDN w:val="0"/>
                              <w:adjustRightInd w:val="0"/>
                              <w:spacing w:after="9pt"/>
                              <w:ind w:start="0pt" w:firstLine="0pt"/>
                              <w:contextualSpacing/>
                              <w:textAlignment w:val="baseline"/>
                            </w:pPr>
                            <w:r w:rsidRPr="00B760DA">
                              <w:rPr>
                                <w:highlight w:val="yellow"/>
                              </w:rPr>
                              <w:t>Introduction of TDM solution (e.g. indication of UE preferred TDM pattern for UL/DL). (RAN2, RAN4).</w:t>
                            </w:r>
                            <w:r w:rsidRPr="00CD6619">
                              <w:br/>
                              <w:t>Note: The TDM solution is considered complementary to the FDM solution.</w:t>
                            </w:r>
                          </w:p>
                          <w:p w14:paraId="4EBFF473" w14:textId="77777777" w:rsidR="0022730F" w:rsidRDefault="0022730F" w:rsidP="00D13CD9">
                            <w:pPr>
                              <w:pStyle w:val="ListParagraph"/>
                              <w:numPr>
                                <w:ilvl w:val="0"/>
                                <w:numId w:val="31"/>
                              </w:numPr>
                              <w:tabs>
                                <w:tab w:val="num" w:pos="18pt"/>
                              </w:tabs>
                              <w:overflowPunct w:val="0"/>
                              <w:autoSpaceDE w:val="0"/>
                              <w:autoSpaceDN w:val="0"/>
                              <w:adjustRightInd w:val="0"/>
                              <w:spacing w:after="9pt"/>
                              <w:ind w:start="0pt" w:firstLine="0pt"/>
                              <w:contextualSpacing/>
                              <w:textAlignment w:val="baseline"/>
                            </w:pPr>
                            <w:r>
                              <w:t>Specify RRM requirements for TDM solution (RAN4)</w:t>
                            </w:r>
                          </w:p>
                          <w:p w14:paraId="3511BE43" w14:textId="77777777" w:rsidR="0022730F" w:rsidRDefault="0022730F">
                            <w:r w:rsidRPr="00CD6619">
                              <w:t xml:space="preserve">Note: </w:t>
                            </w:r>
                            <w:r w:rsidRPr="00A65F3F">
                              <w:rPr>
                                <w:highlight w:val="yellow"/>
                              </w:rPr>
                              <w:t>LTE IDC solution should be considered as the baseline for the solutions developed in this WI.</w:t>
                            </w:r>
                          </w:p>
                        </wne:txbxContent>
                      </wp:txbx>
                      <wp:bodyPr rot="0" vert="horz" wrap="square" lIns="91440" tIns="45720" rIns="91440" bIns="45720" anchor="t" anchorCtr="0" upright="1">
                        <a:spAutoFit/>
                      </wp:bodyPr>
                    </wp:wsp>
                  </a:graphicData>
                </a:graphic>
                <wp14:sizeRelH relativeFrom="margin">
                  <wp14:pctWidth>0%</wp14:pctWidth>
                </wp14:sizeRelH>
                <wp14:sizeRelV relativeFrom="margin">
                  <wp14:pctHeight>20%</wp14:pctHeight>
                </wp14:sizeRelV>
              </wp:anchor>
            </w:drawing>
          </mc:Fallback>
        </mc:AlternateContent>
      </w:r>
      <w:r w:rsidR="00585033">
        <w:rPr>
          <w:noProof/>
        </w:rPr>
        <w:t>In Rel-18, it was agreed to introduce IDC enhancemen</w:t>
      </w:r>
      <w:r w:rsidR="00D13CD9">
        <w:rPr>
          <w:noProof/>
        </w:rPr>
        <w:t>ts in WID [1]:</w:t>
      </w:r>
    </w:p>
    <w:p w14:paraId="42D769EE" w14:textId="77777777" w:rsidR="0048029A" w:rsidRDefault="00D8263D" w:rsidP="00AB75BC">
      <w:r>
        <w:t xml:space="preserve">In RAN2 </w:t>
      </w:r>
      <w:r w:rsidR="00B04B45">
        <w:t>121 the following agreement was reached</w:t>
      </w:r>
      <w:r>
        <w:t xml:space="preserve"> [2]:</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854"/>
      </w:tblGrid>
      <w:tr w:rsidR="00B04B45" w14:paraId="3706A1F6" w14:textId="77777777" w:rsidTr="00D64FA3">
        <w:tc>
          <w:tcPr>
            <w:tcW w:w="492.70pt" w:type="dxa"/>
            <w:shd w:val="clear" w:color="auto" w:fill="auto"/>
          </w:tcPr>
          <w:p w14:paraId="5D0797FD" w14:textId="77777777" w:rsidR="00B04B45" w:rsidRPr="00B04B45" w:rsidRDefault="00B04B45" w:rsidP="00D64FA3">
            <w:pPr>
              <w:pStyle w:val="Doc-text2"/>
              <w:numPr>
                <w:ilvl w:val="0"/>
                <w:numId w:val="43"/>
              </w:numPr>
            </w:pPr>
            <w:r w:rsidRPr="00B04B45">
              <w:t>The NR values of long/short DRX cycle and start offset are used for periodic pattern. RAN2 will not introduce new DRX value for network configuration for IDC purpose.</w:t>
            </w:r>
          </w:p>
          <w:p w14:paraId="075EBE86" w14:textId="77777777" w:rsidR="00B04B45" w:rsidRPr="00B04B45" w:rsidRDefault="00B04B45" w:rsidP="00D64FA3">
            <w:pPr>
              <w:pStyle w:val="Doc-text2"/>
              <w:numPr>
                <w:ilvl w:val="0"/>
                <w:numId w:val="43"/>
              </w:numPr>
            </w:pPr>
            <w:r w:rsidRPr="00B04B45">
              <w:t>The slot offset with 1/32ms granularity is included in UEAssistanceInformation-v18xy-IEs for start offset.</w:t>
            </w:r>
          </w:p>
          <w:p w14:paraId="58BFC696" w14:textId="77777777" w:rsidR="00B04B45" w:rsidRPr="00B04B45" w:rsidRDefault="00B04B45" w:rsidP="00D64FA3">
            <w:pPr>
              <w:pStyle w:val="Doc-text2"/>
              <w:numPr>
                <w:ilvl w:val="0"/>
                <w:numId w:val="43"/>
              </w:numPr>
            </w:pPr>
            <w:r w:rsidRPr="00B04B45">
              <w:t>Multiple periodic patterns for IDC are not supported in R18.</w:t>
            </w:r>
          </w:p>
          <w:p w14:paraId="50325344" w14:textId="77777777" w:rsidR="00B04B45" w:rsidRPr="00B04B45" w:rsidRDefault="00B04B45" w:rsidP="00D64FA3">
            <w:pPr>
              <w:pStyle w:val="Doc-text2"/>
              <w:numPr>
                <w:ilvl w:val="0"/>
                <w:numId w:val="43"/>
              </w:numPr>
            </w:pPr>
            <w:r w:rsidRPr="00B04B45">
              <w:t>Per CG pattern is supported for MR-DC.  SN can configure the UE to report the TDM assistance information directly to SN, either through SRB 1 (if SRB3 is not configured) or SRB 3.</w:t>
            </w:r>
          </w:p>
          <w:p w14:paraId="35B12B53" w14:textId="77777777" w:rsidR="00B04B45" w:rsidRPr="00B04B45" w:rsidRDefault="00B04B45" w:rsidP="00D64FA3">
            <w:pPr>
              <w:pStyle w:val="Doc-text2"/>
              <w:numPr>
                <w:ilvl w:val="0"/>
                <w:numId w:val="43"/>
              </w:numPr>
            </w:pPr>
            <w:r w:rsidRPr="00B04B45">
              <w:t>FFS whether any additional coordination is needed for network to resolve the problem when network receives the reporting from UE.</w:t>
            </w:r>
          </w:p>
          <w:p w14:paraId="68D7DDE6" w14:textId="77777777" w:rsidR="00B04B45" w:rsidRPr="00B04B45" w:rsidRDefault="00B04B45" w:rsidP="00D64FA3">
            <w:pPr>
              <w:pStyle w:val="Doc-text2"/>
              <w:numPr>
                <w:ilvl w:val="0"/>
                <w:numId w:val="43"/>
              </w:numPr>
            </w:pPr>
            <w:r w:rsidRPr="00B04B45">
              <w:t>Slot as time unit for autonomous denial</w:t>
            </w:r>
          </w:p>
          <w:p w14:paraId="3C68BD16" w14:textId="77777777" w:rsidR="00B04B45" w:rsidRPr="00B04B45" w:rsidRDefault="00B04B45" w:rsidP="00D64FA3">
            <w:pPr>
              <w:pStyle w:val="Doc-text2"/>
              <w:numPr>
                <w:ilvl w:val="0"/>
                <w:numId w:val="43"/>
              </w:numPr>
            </w:pPr>
            <w:r w:rsidRPr="00B04B45">
              <w:t xml:space="preserve">Agree to send LS to RAN4, indicate the progress in </w:t>
            </w:r>
            <w:proofErr w:type="gramStart"/>
            <w:r w:rsidRPr="00B04B45">
              <w:t>RAN2</w:t>
            </w:r>
            <w:proofErr w:type="gramEnd"/>
          </w:p>
          <w:p w14:paraId="192ACA7D" w14:textId="77777777" w:rsidR="00B04B45" w:rsidRPr="00B04B45" w:rsidRDefault="00B04B45" w:rsidP="00D64FA3">
            <w:pPr>
              <w:pStyle w:val="Doc-text2"/>
              <w:numPr>
                <w:ilvl w:val="0"/>
                <w:numId w:val="43"/>
              </w:numPr>
            </w:pPr>
            <w:r w:rsidRPr="00B04B45">
              <w:t>For NR-DC, per CG idc-AssistanceConfigTDM-r</w:t>
            </w:r>
            <w:proofErr w:type="gramStart"/>
            <w:r w:rsidRPr="00B04B45">
              <w:t>18  is</w:t>
            </w:r>
            <w:proofErr w:type="gramEnd"/>
            <w:r w:rsidRPr="00B04B45">
              <w:t xml:space="preserve"> introduced to indicate whether TDM assistant information needs to be reported.</w:t>
            </w:r>
          </w:p>
          <w:p w14:paraId="19A6DA8E" w14:textId="77777777" w:rsidR="00B04B45" w:rsidRPr="00B04B45" w:rsidRDefault="00B04B45" w:rsidP="00D64FA3">
            <w:pPr>
              <w:pStyle w:val="Doc-text2"/>
              <w:numPr>
                <w:ilvl w:val="0"/>
                <w:numId w:val="43"/>
              </w:numPr>
            </w:pPr>
            <w:r w:rsidRPr="00B04B45">
              <w:t>For NR-DC, per CG idc-AssistanceConfigFDM-r18 is introduced to indicate whether FDM assistant information needs to be reported. FFS on dependency between FDM and TDM configuration.</w:t>
            </w:r>
          </w:p>
          <w:p w14:paraId="311B3574" w14:textId="77777777" w:rsidR="00B04B45" w:rsidRPr="00B04B45" w:rsidRDefault="00B04B45" w:rsidP="00D64FA3">
            <w:pPr>
              <w:pStyle w:val="Doc-text2"/>
              <w:numPr>
                <w:ilvl w:val="0"/>
                <w:numId w:val="43"/>
              </w:numPr>
            </w:pPr>
            <w:r w:rsidRPr="00B04B45">
              <w:t>The values of drx-onDurationTimer in NR is used as the baseline for active Duration in UE assistant information. FFS on other values.</w:t>
            </w:r>
          </w:p>
          <w:p w14:paraId="7BDE81FF" w14:textId="77777777" w:rsidR="00B04B45" w:rsidRPr="00B04B45" w:rsidRDefault="00B04B45" w:rsidP="00D64FA3">
            <w:pPr>
              <w:pStyle w:val="Doc-text2"/>
              <w:numPr>
                <w:ilvl w:val="0"/>
                <w:numId w:val="43"/>
              </w:numPr>
            </w:pPr>
            <w:r w:rsidRPr="00B04B45">
              <w:t>The same values of validity period and number of denial slots as in LTE is reused. FFS on other values.</w:t>
            </w:r>
          </w:p>
          <w:p w14:paraId="222E1231" w14:textId="77777777" w:rsidR="00B04B45" w:rsidRPr="00B04B45" w:rsidRDefault="00B04B45" w:rsidP="00D64FA3">
            <w:pPr>
              <w:pStyle w:val="Doc-text2"/>
              <w:numPr>
                <w:ilvl w:val="0"/>
                <w:numId w:val="43"/>
              </w:numPr>
            </w:pPr>
            <w:r w:rsidRPr="00B04B45">
              <w:t>The autonomous denial configuration is per CG.</w:t>
            </w:r>
          </w:p>
          <w:p w14:paraId="5C7CB3B2" w14:textId="77777777" w:rsidR="00B04B45" w:rsidRDefault="00B04B45" w:rsidP="00AB75BC"/>
        </w:tc>
      </w:tr>
    </w:tbl>
    <w:p w14:paraId="14801C3B" w14:textId="77777777" w:rsidR="00EF4EBA" w:rsidRDefault="00EF4EBA" w:rsidP="00AB75BC"/>
    <w:p w14:paraId="11C7D050" w14:textId="77777777" w:rsidR="00D8263D" w:rsidRDefault="00D8263D" w:rsidP="00AB75BC">
      <w:r>
        <w:t xml:space="preserve">An offline email discussion </w:t>
      </w:r>
      <w:r w:rsidR="00B04B45">
        <w:t>is ongoing to address leftover issues</w:t>
      </w:r>
      <w:r>
        <w:t xml:space="preserve"> [</w:t>
      </w:r>
      <w:r w:rsidR="00B04B45">
        <w:t>3</w:t>
      </w:r>
      <w:r>
        <w:t>]</w:t>
      </w:r>
      <w:r w:rsidR="00B04B45">
        <w:t>.</w:t>
      </w:r>
    </w:p>
    <w:p w14:paraId="398F4E7A" w14:textId="77777777" w:rsidR="00B04B45" w:rsidRDefault="00B04B45" w:rsidP="00B04B45">
      <w:pPr>
        <w:pStyle w:val="Heading1"/>
      </w:pPr>
      <w:r w:rsidRPr="00B04B45">
        <w:lastRenderedPageBreak/>
        <w:t>TDM dependence on FDM</w:t>
      </w:r>
    </w:p>
    <w:p w14:paraId="49C267C0" w14:textId="77777777" w:rsidR="00147D17" w:rsidRDefault="00147D17" w:rsidP="00147D17">
      <w:r>
        <w:t xml:space="preserve">One issue that was discussed in [3] is whether </w:t>
      </w:r>
      <w:r w:rsidRPr="00147D17">
        <w:t>FDM configuration and TDM configuration can be configured independently</w:t>
      </w:r>
      <w:r>
        <w:t xml:space="preserve">. In our view, </w:t>
      </w:r>
      <w:proofErr w:type="gramStart"/>
      <w:r>
        <w:t>We</w:t>
      </w:r>
      <w:proofErr w:type="gramEnd"/>
      <w:r>
        <w:t xml:space="preserve"> have already provided a TDM configuration in the CR and agreed that TDM capability is separate from FDM capability. The procedural text in the current CR as well does not require FDM to be supported for TDM reporting so it does not seem a spec change is needed from the current CR. </w:t>
      </w:r>
    </w:p>
    <w:p w14:paraId="42130AE4" w14:textId="77777777" w:rsidR="00147D17" w:rsidRDefault="000A1A02" w:rsidP="00147D17">
      <w:r>
        <w:t>Our motivation</w:t>
      </w:r>
      <w:r w:rsidR="00147D17">
        <w:t xml:space="preserve"> to deploy TDM with no FDM is that some deployments like n255 for NTN cannot benefit from FDM solution so in this case this would be a standalone TDM solution.</w:t>
      </w:r>
    </w:p>
    <w:p w14:paraId="6F959402" w14:textId="77777777" w:rsidR="000A1A02" w:rsidRPr="000A1A02" w:rsidRDefault="000A1A02" w:rsidP="00147D17">
      <w:pPr>
        <w:rPr>
          <w:b/>
          <w:bCs/>
        </w:rPr>
      </w:pPr>
      <w:r w:rsidRPr="000A1A02">
        <w:rPr>
          <w:b/>
          <w:bCs/>
        </w:rPr>
        <w:t xml:space="preserve">Observation 1: RAN2 has already agreed on separate configuration and capability for TDM reporting. </w:t>
      </w:r>
    </w:p>
    <w:p w14:paraId="585BFFFE" w14:textId="77777777" w:rsidR="000A1A02" w:rsidRDefault="000A1A02" w:rsidP="00147D17">
      <w:pPr>
        <w:rPr>
          <w:b/>
          <w:bCs/>
        </w:rPr>
      </w:pPr>
      <w:r w:rsidRPr="000A1A02">
        <w:rPr>
          <w:b/>
          <w:bCs/>
        </w:rPr>
        <w:t>Proposal 1: TDM configuration and reporting is independent of FDM.</w:t>
      </w:r>
    </w:p>
    <w:p w14:paraId="5C78A96F" w14:textId="77777777" w:rsidR="000A1A02" w:rsidRPr="000A1A02" w:rsidRDefault="000A1A02" w:rsidP="000A1A02">
      <w:pPr>
        <w:pStyle w:val="Heading1"/>
      </w:pPr>
      <w:r>
        <w:t>Autonomous Denials</w:t>
      </w:r>
    </w:p>
    <w:p w14:paraId="1C08F253" w14:textId="77777777" w:rsidR="000A1A02" w:rsidRDefault="000A1A02" w:rsidP="000A1A02">
      <w:r>
        <w:t xml:space="preserve">The current allowed autonomous denial configuration is not very useful due to two reasons: </w:t>
      </w:r>
    </w:p>
    <w:p w14:paraId="1E451C51" w14:textId="77777777" w:rsidR="000A1A02" w:rsidRDefault="000A1A02" w:rsidP="000A1A02">
      <w:pPr>
        <w:numPr>
          <w:ilvl w:val="0"/>
          <w:numId w:val="44"/>
        </w:numPr>
      </w:pPr>
      <w:r>
        <w:t xml:space="preserve">UE cannot request it, gNB must use periodic requests or some other apriori </w:t>
      </w:r>
      <w:proofErr w:type="gramStart"/>
      <w:r>
        <w:t>information  to</w:t>
      </w:r>
      <w:proofErr w:type="gramEnd"/>
      <w:r>
        <w:t xml:space="preserve"> guess if the UE needs autonomous denials</w:t>
      </w:r>
    </w:p>
    <w:p w14:paraId="5C5C11D0" w14:textId="77777777" w:rsidR="000A1A02" w:rsidRDefault="000A1A02" w:rsidP="000A1A02">
      <w:pPr>
        <w:numPr>
          <w:ilvl w:val="0"/>
          <w:numId w:val="44"/>
        </w:numPr>
      </w:pPr>
      <w:r>
        <w:t xml:space="preserve">Configuration is only aperiodic one-time for a maximum of 2000 slots validity period after configuration. </w:t>
      </w:r>
    </w:p>
    <w:p w14:paraId="53242FDA" w14:textId="77777777" w:rsidR="000A1A02" w:rsidRDefault="000A1A02" w:rsidP="000A1A02">
      <w:r>
        <w:t xml:space="preserve">Given that it is impossible for gNB to know when IDC events happen at the UE with no UE aiding except for a periodic pattern request, it does not make sense for gNB to be able to pinpoint when the UE needs that configuration. The more rational course of action is that the gNB would keep configuring autonomous denials for the UE via RRC signalling to “renew” the autonomous denials validity period. </w:t>
      </w:r>
    </w:p>
    <w:p w14:paraId="2E4CAF7D" w14:textId="77777777" w:rsidR="000A1A02" w:rsidRDefault="000A1A02" w:rsidP="000A1A02">
      <w:pPr>
        <w:rPr>
          <w:b/>
          <w:bCs/>
        </w:rPr>
      </w:pPr>
      <w:r w:rsidRPr="000A1A02">
        <w:rPr>
          <w:b/>
          <w:bCs/>
        </w:rPr>
        <w:t xml:space="preserve">Observation 2: Autonomous denials as an aperiodic configuration that the gNB can provide without UE assistance is not very useful since gNB cannot determine the right validity period. </w:t>
      </w:r>
    </w:p>
    <w:p w14:paraId="4EF51A76" w14:textId="77777777" w:rsidR="000A1A02" w:rsidRDefault="000A1A02" w:rsidP="000A1A02">
      <w:r>
        <w:t xml:space="preserve">Thus, in our view, to avoid continuous RRC renewing of autonomous denial validity period via RRC (the deployment that makes sense), we think the gNB can set up an automatically renewing autonomous denial configuration until cancelled. This way, the gNB accepts that some UL denials may happen </w:t>
      </w:r>
      <w:proofErr w:type="gramStart"/>
      <w:r>
        <w:t>as long as</w:t>
      </w:r>
      <w:proofErr w:type="gramEnd"/>
      <w:r>
        <w:t xml:space="preserve"> this configuration is there. </w:t>
      </w:r>
    </w:p>
    <w:p w14:paraId="2C0508B8" w14:textId="77777777" w:rsidR="000A1A02" w:rsidRDefault="000A1A02" w:rsidP="000A1A02">
      <w:pPr>
        <w:rPr>
          <w:b/>
          <w:bCs/>
        </w:rPr>
      </w:pPr>
      <w:r w:rsidRPr="000A1A02">
        <w:rPr>
          <w:b/>
          <w:bCs/>
        </w:rPr>
        <w:t xml:space="preserve">Proposal 2: Network is allowed to make the autonomous denial configuration “recurring”, i.e., configuration </w:t>
      </w:r>
      <w:proofErr w:type="gramStart"/>
      <w:r w:rsidRPr="000A1A02">
        <w:rPr>
          <w:b/>
          <w:bCs/>
        </w:rPr>
        <w:t>renews automatically</w:t>
      </w:r>
      <w:proofErr w:type="gramEnd"/>
      <w:r w:rsidRPr="000A1A02">
        <w:rPr>
          <w:b/>
          <w:bCs/>
        </w:rPr>
        <w:t xml:space="preserve"> every validity period until cancelled by RRC signalling. </w:t>
      </w:r>
    </w:p>
    <w:p w14:paraId="582C4B3E" w14:textId="77777777" w:rsidR="00806661" w:rsidRDefault="00806661" w:rsidP="000A1A02">
      <w:r w:rsidRPr="00806661">
        <w:t xml:space="preserve">Another </w:t>
      </w:r>
      <w:r>
        <w:t xml:space="preserve">issue that is salient in autonomous denials is whether MN-SN coordination is needed. Since </w:t>
      </w:r>
      <w:r w:rsidRPr="00806661">
        <w:t xml:space="preserve">MN can configure </w:t>
      </w:r>
      <w:proofErr w:type="gramStart"/>
      <w:r w:rsidRPr="00806661">
        <w:t>SN</w:t>
      </w:r>
      <w:proofErr w:type="gramEnd"/>
      <w:r w:rsidRPr="00806661">
        <w:t xml:space="preserve"> it needs to tell SN about the active autonomous denial configuration so that the SN will not misinterpret denied UL slots.</w:t>
      </w:r>
    </w:p>
    <w:p w14:paraId="364F5F8B" w14:textId="77777777" w:rsidR="00806661" w:rsidRPr="00806661" w:rsidRDefault="00806661" w:rsidP="000A1A02">
      <w:pPr>
        <w:rPr>
          <w:b/>
          <w:bCs/>
        </w:rPr>
      </w:pPr>
      <w:r w:rsidRPr="00806661">
        <w:rPr>
          <w:b/>
          <w:bCs/>
        </w:rPr>
        <w:t xml:space="preserve">Observation 3: When MN configures autonomous denials for SN, SN would need to know of the configuration in order not to misinterpret denied UL slots which would affect PDCCH link adaptation. </w:t>
      </w:r>
    </w:p>
    <w:p w14:paraId="1E111F0E" w14:textId="73D2B036" w:rsidR="00806661" w:rsidRPr="00806661" w:rsidRDefault="00806661" w:rsidP="000A1A02">
      <w:pPr>
        <w:rPr>
          <w:b/>
          <w:bCs/>
        </w:rPr>
      </w:pPr>
      <w:r w:rsidRPr="00806661">
        <w:rPr>
          <w:b/>
          <w:bCs/>
        </w:rPr>
        <w:t xml:space="preserve">Proposal 3: </w:t>
      </w:r>
      <w:r w:rsidR="002819D4">
        <w:rPr>
          <w:b/>
          <w:bCs/>
        </w:rPr>
        <w:t xml:space="preserve">MN should inform SN of an autonomous denials configuration </w:t>
      </w:r>
      <w:r w:rsidR="00F035C3">
        <w:rPr>
          <w:b/>
          <w:bCs/>
        </w:rPr>
        <w:t>that affects SN UL.</w:t>
      </w:r>
    </w:p>
    <w:p w14:paraId="11E12179" w14:textId="77777777" w:rsidR="00806661" w:rsidRDefault="00806661" w:rsidP="00806661">
      <w:pPr>
        <w:pStyle w:val="Heading1"/>
      </w:pPr>
      <w:r>
        <w:t>Periodic Pattern request</w:t>
      </w:r>
    </w:p>
    <w:p w14:paraId="04CDDA14" w14:textId="77777777" w:rsidR="00806661" w:rsidRDefault="00806661" w:rsidP="00806661">
      <w:r>
        <w:t xml:space="preserve">The current format of periodic pattern request is stable, however, there is an FFS on all the values the UE can include on </w:t>
      </w:r>
      <w:bookmarkStart w:id="1" w:name="_Hlk134450102"/>
      <w:r w:rsidRPr="00806661">
        <w:t>cycleLength-r</w:t>
      </w:r>
      <w:proofErr w:type="gramStart"/>
      <w:r w:rsidRPr="00806661">
        <w:t>18 </w:t>
      </w:r>
      <w:r>
        <w:t xml:space="preserve"> </w:t>
      </w:r>
      <w:bookmarkEnd w:id="1"/>
      <w:r>
        <w:t>in</w:t>
      </w:r>
      <w:proofErr w:type="gramEnd"/>
      <w:r>
        <w:t xml:space="preserve"> </w:t>
      </w:r>
      <w:r w:rsidRPr="00806661">
        <w:t>IDC-TDM-Assistance-r18</w:t>
      </w:r>
      <w:r>
        <w:t xml:space="preserve">. For this case, we think there are two key values missing for the </w:t>
      </w:r>
      <w:r w:rsidRPr="00806661">
        <w:t>cycleLength-r</w:t>
      </w:r>
      <w:proofErr w:type="gramStart"/>
      <w:r w:rsidRPr="00806661">
        <w:t>18 </w:t>
      </w:r>
      <w:r>
        <w:t xml:space="preserve"> that</w:t>
      </w:r>
      <w:proofErr w:type="gramEnd"/>
      <w:r>
        <w:t xml:space="preserve"> the UE may need to report.</w:t>
      </w:r>
    </w:p>
    <w:p w14:paraId="6833F0CD" w14:textId="77777777" w:rsidR="00806661" w:rsidRDefault="00806661" w:rsidP="00806661">
      <w:pPr>
        <w:numPr>
          <w:ilvl w:val="0"/>
          <w:numId w:val="45"/>
        </w:numPr>
      </w:pPr>
      <w:r>
        <w:t>100ms: The length of WLAN beacon periodicity</w:t>
      </w:r>
    </w:p>
    <w:p w14:paraId="2BA9E9E0" w14:textId="77777777" w:rsidR="00806661" w:rsidRDefault="00806661" w:rsidP="00806661">
      <w:pPr>
        <w:numPr>
          <w:ilvl w:val="0"/>
          <w:numId w:val="45"/>
        </w:numPr>
      </w:pPr>
      <w:r>
        <w:t xml:space="preserve">96 ms: The length of an UWB frame. </w:t>
      </w:r>
    </w:p>
    <w:p w14:paraId="307E0474" w14:textId="77777777" w:rsidR="00806661" w:rsidRDefault="00806661" w:rsidP="00806661">
      <w:r>
        <w:t>We think this would be a straightforward addition to available field values in the IDC TDM assistance without any change to the basic operation.</w:t>
      </w:r>
    </w:p>
    <w:p w14:paraId="6D7D93F4" w14:textId="77777777" w:rsidR="00806661" w:rsidRPr="00806661" w:rsidRDefault="00806661" w:rsidP="00806661">
      <w:pPr>
        <w:rPr>
          <w:b/>
          <w:bCs/>
        </w:rPr>
      </w:pPr>
      <w:r w:rsidRPr="00806661">
        <w:rPr>
          <w:b/>
          <w:bCs/>
        </w:rPr>
        <w:t>Proposal 4: Values 100ms and 96ms are added to the possible cycleLength-r</w:t>
      </w:r>
      <w:proofErr w:type="gramStart"/>
      <w:r w:rsidRPr="00806661">
        <w:rPr>
          <w:b/>
          <w:bCs/>
        </w:rPr>
        <w:t>18  in</w:t>
      </w:r>
      <w:proofErr w:type="gramEnd"/>
      <w:r w:rsidRPr="00806661">
        <w:rPr>
          <w:b/>
          <w:bCs/>
        </w:rPr>
        <w:t xml:space="preserve"> IDC-TDM-Assistance-r18 to cover WLAN and UWB, respectively. </w:t>
      </w:r>
    </w:p>
    <w:p w14:paraId="05A1F23A" w14:textId="77777777" w:rsidR="00473049" w:rsidRDefault="00473049" w:rsidP="00473049">
      <w:pPr>
        <w:pStyle w:val="Heading1"/>
      </w:pPr>
      <w:r>
        <w:lastRenderedPageBreak/>
        <w:t>Conclusions</w:t>
      </w:r>
    </w:p>
    <w:bookmarkEnd w:id="0"/>
    <w:p w14:paraId="30D654D7" w14:textId="77777777" w:rsidR="00806661" w:rsidRPr="000A1A02" w:rsidRDefault="00806661" w:rsidP="00806661">
      <w:pPr>
        <w:rPr>
          <w:b/>
          <w:bCs/>
        </w:rPr>
      </w:pPr>
      <w:r w:rsidRPr="000A1A02">
        <w:rPr>
          <w:b/>
          <w:bCs/>
        </w:rPr>
        <w:t xml:space="preserve">Observation 1: RAN2 has already agreed on separate configuration and capability for TDM reporting. </w:t>
      </w:r>
    </w:p>
    <w:p w14:paraId="298197AB" w14:textId="77777777" w:rsidR="00806661" w:rsidRDefault="00806661" w:rsidP="00806661">
      <w:pPr>
        <w:rPr>
          <w:b/>
          <w:bCs/>
        </w:rPr>
      </w:pPr>
      <w:r w:rsidRPr="000A1A02">
        <w:rPr>
          <w:b/>
          <w:bCs/>
        </w:rPr>
        <w:t>Proposal 1: TDM configuration and reporting is independent of FDM.</w:t>
      </w:r>
    </w:p>
    <w:p w14:paraId="6BA4539C" w14:textId="77777777" w:rsidR="00806661" w:rsidRDefault="00806661" w:rsidP="00806661">
      <w:pPr>
        <w:rPr>
          <w:b/>
          <w:bCs/>
        </w:rPr>
      </w:pPr>
      <w:r w:rsidRPr="000A1A02">
        <w:rPr>
          <w:b/>
          <w:bCs/>
        </w:rPr>
        <w:t xml:space="preserve">Observation 2: Autonomous denials as an aperiodic configuration that the gNB can provide without UE assistance is not very useful since gNB cannot determine the right validity period. </w:t>
      </w:r>
    </w:p>
    <w:p w14:paraId="1A28755F" w14:textId="77777777" w:rsidR="00806661" w:rsidRDefault="00806661" w:rsidP="00806661">
      <w:pPr>
        <w:rPr>
          <w:b/>
          <w:bCs/>
        </w:rPr>
      </w:pPr>
      <w:r w:rsidRPr="000A1A02">
        <w:rPr>
          <w:b/>
          <w:bCs/>
        </w:rPr>
        <w:t xml:space="preserve">Proposal 2: Network is allowed to make the autonomous denial configuration “recurring”, i.e., configuration automatically renews every validity period until cancelled by RRC signalling. </w:t>
      </w:r>
    </w:p>
    <w:p w14:paraId="1D2B6DFE" w14:textId="77777777" w:rsidR="00806661" w:rsidRPr="00806661" w:rsidRDefault="00806661" w:rsidP="00806661">
      <w:pPr>
        <w:rPr>
          <w:b/>
          <w:bCs/>
        </w:rPr>
      </w:pPr>
      <w:r w:rsidRPr="00806661">
        <w:rPr>
          <w:b/>
          <w:bCs/>
        </w:rPr>
        <w:t xml:space="preserve">Observation 3: When MN configures autonomous denials for SN, SN would need to know of the configuration in order not to misinterpret denied UL slots which would affect PDCCH link adaptation. </w:t>
      </w:r>
    </w:p>
    <w:p w14:paraId="262770C2" w14:textId="77777777" w:rsidR="00806661" w:rsidRPr="00806661" w:rsidRDefault="00806661" w:rsidP="00806661">
      <w:pPr>
        <w:rPr>
          <w:b/>
          <w:bCs/>
        </w:rPr>
      </w:pPr>
      <w:r w:rsidRPr="00806661">
        <w:rPr>
          <w:b/>
          <w:bCs/>
        </w:rPr>
        <w:t>Proposal 3: Include information between MN and SN about autonomous denials in Internode coordination.</w:t>
      </w:r>
    </w:p>
    <w:p w14:paraId="521D80E4" w14:textId="77777777" w:rsidR="00806661" w:rsidRPr="00806661" w:rsidRDefault="00806661" w:rsidP="00806661">
      <w:pPr>
        <w:rPr>
          <w:b/>
          <w:bCs/>
        </w:rPr>
      </w:pPr>
      <w:r w:rsidRPr="00806661">
        <w:rPr>
          <w:b/>
          <w:bCs/>
        </w:rPr>
        <w:t>Proposal 4: Values 100ms and 96ms are added to the possible cycleLength-r</w:t>
      </w:r>
      <w:proofErr w:type="gramStart"/>
      <w:r w:rsidRPr="00806661">
        <w:rPr>
          <w:b/>
          <w:bCs/>
        </w:rPr>
        <w:t>18  in</w:t>
      </w:r>
      <w:proofErr w:type="gramEnd"/>
      <w:r w:rsidRPr="00806661">
        <w:rPr>
          <w:b/>
          <w:bCs/>
        </w:rPr>
        <w:t xml:space="preserve"> IDC-TDM-Assistance-r18 to cover WLAN and UWB, respectively. </w:t>
      </w:r>
    </w:p>
    <w:p w14:paraId="50E6906E" w14:textId="77777777" w:rsidR="00353DF2" w:rsidRPr="00383F56" w:rsidRDefault="00353DF2" w:rsidP="00110784">
      <w:pPr>
        <w:pStyle w:val="Heading1"/>
        <w:numPr>
          <w:ilvl w:val="0"/>
          <w:numId w:val="0"/>
        </w:numPr>
        <w:ind w:start="21.60pt" w:hanging="21.60pt"/>
      </w:pPr>
      <w:r w:rsidRPr="00383F56">
        <w:t>References</w:t>
      </w:r>
    </w:p>
    <w:p w14:paraId="383FB17D" w14:textId="77777777" w:rsidR="00147D17" w:rsidRDefault="00147D17" w:rsidP="00147D17">
      <w:pPr>
        <w:numPr>
          <w:ilvl w:val="0"/>
          <w:numId w:val="3"/>
        </w:numPr>
        <w:rPr>
          <w:bCs/>
        </w:rPr>
      </w:pPr>
      <w:bookmarkStart w:id="2" w:name="_Hlk85553987"/>
      <w:r w:rsidRPr="008947B0">
        <w:rPr>
          <w:bCs/>
        </w:rPr>
        <w:t>RP-213589</w:t>
      </w:r>
      <w:r>
        <w:rPr>
          <w:bCs/>
        </w:rPr>
        <w:t xml:space="preserve">: </w:t>
      </w:r>
      <w:r w:rsidRPr="008947B0">
        <w:rPr>
          <w:bCs/>
        </w:rPr>
        <w:t>New WI: In-Device Co-existence (IDC) enhancements for NR and MR-DC</w:t>
      </w:r>
    </w:p>
    <w:p w14:paraId="7E88E6F7" w14:textId="77777777" w:rsidR="00147D17" w:rsidRDefault="00147D17" w:rsidP="00147D17">
      <w:pPr>
        <w:numPr>
          <w:ilvl w:val="0"/>
          <w:numId w:val="3"/>
        </w:numPr>
        <w:rPr>
          <w:bCs/>
        </w:rPr>
      </w:pPr>
      <w:r>
        <w:rPr>
          <w:bCs/>
        </w:rPr>
        <w:t>RAN2 121 Chairman Notes</w:t>
      </w:r>
    </w:p>
    <w:p w14:paraId="65119AC6" w14:textId="77777777" w:rsidR="00147D17" w:rsidRPr="00513498" w:rsidRDefault="00147D17" w:rsidP="00147D17">
      <w:pPr>
        <w:ind w:start="18pt"/>
        <w:rPr>
          <w:bCs/>
        </w:rPr>
      </w:pPr>
      <w:r>
        <w:rPr>
          <w:bCs/>
        </w:rPr>
        <w:t xml:space="preserve">[3] </w:t>
      </w:r>
      <w:bookmarkEnd w:id="2"/>
      <w:r w:rsidRPr="00513498">
        <w:rPr>
          <w:bCs/>
        </w:rPr>
        <w:t>R2-23xxxxx</w:t>
      </w:r>
      <w:r>
        <w:rPr>
          <w:bCs/>
        </w:rPr>
        <w:t xml:space="preserve"> </w:t>
      </w:r>
      <w:r w:rsidRPr="00513498">
        <w:rPr>
          <w:bCs/>
        </w:rPr>
        <w:t>[Post121][</w:t>
      </w:r>
      <w:proofErr w:type="gramStart"/>
      <w:r w:rsidRPr="00513498">
        <w:rPr>
          <w:bCs/>
        </w:rPr>
        <w:t>655][</w:t>
      </w:r>
      <w:proofErr w:type="gramEnd"/>
      <w:r w:rsidRPr="00513498">
        <w:rPr>
          <w:bCs/>
        </w:rPr>
        <w:t>IDC] Discussion on Leftover issues for IDC (xiaomi)</w:t>
      </w:r>
    </w:p>
    <w:p w14:paraId="6F6B804F" w14:textId="77777777" w:rsidR="00EC5C54" w:rsidRPr="001551D9" w:rsidRDefault="00EC5C54" w:rsidP="0012645F">
      <w:pPr>
        <w:rPr>
          <w:highlight w:val="cyan"/>
        </w:rPr>
      </w:pPr>
    </w:p>
    <w:sectPr w:rsidR="00EC5C54" w:rsidRPr="001551D9" w:rsidSect="00F93D55">
      <w:headerReference w:type="even" r:id="rId12"/>
      <w:headerReference w:type="default" r:id="rId13"/>
      <w:footerReference w:type="even" r:id="rId14"/>
      <w:footerReference w:type="default" r:id="rId15"/>
      <w:headerReference w:type="first" r:id="rId16"/>
      <w:footerReference w:type="first" r:id="rId17"/>
      <w:type w:val="continuous"/>
      <w:pgSz w:w="595.30pt" w:h="841.90pt" w:code="9"/>
      <w:pgMar w:top="56.70pt" w:right="56.70pt" w:bottom="56.70pt" w:left="56.70pt" w:header="36.85pt" w:footer="28.35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12CC5303" w14:textId="77777777" w:rsidR="00D64FA3" w:rsidRDefault="00D64FA3">
      <w:r>
        <w:separator/>
      </w:r>
    </w:p>
    <w:p w14:paraId="43995BE1" w14:textId="77777777" w:rsidR="00D64FA3" w:rsidRDefault="00D64FA3"/>
  </w:endnote>
  <w:endnote w:type="continuationSeparator" w:id="0">
    <w:p w14:paraId="122E81D7" w14:textId="77777777" w:rsidR="00D64FA3" w:rsidRDefault="00D64FA3">
      <w:r>
        <w:continuationSeparator/>
      </w:r>
    </w:p>
    <w:p w14:paraId="1D37DE2A" w14:textId="77777777" w:rsidR="00D64FA3" w:rsidRDefault="00D64FA3"/>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Times">
    <w:panose1 w:val="02020603050405020304"/>
    <w:charset w:characterSet="iso-8859-1"/>
    <w:family w:val="roman"/>
    <w:pitch w:val="variable"/>
    <w:sig w:usb0="E0002EFF" w:usb1="C000785B" w:usb2="00000009" w:usb3="00000000" w:csb0="000001FF" w:csb1="00000000"/>
  </w:font>
  <w:font w:name="Batang">
    <w:altName w:val="바탕"/>
    <w:panose1 w:val="02030600000101010101"/>
    <w:charset w:characterSet="ks_c-5601-1987"/>
    <w:family w:val="roman"/>
    <w:pitch w:val="variable"/>
    <w:sig w:usb0="B00002AF" w:usb1="69D77CFB" w:usb2="00000030" w:usb3="00000000" w:csb0="0008009F" w:csb1="00000000"/>
  </w:font>
  <w:font w:name="Arial Bold">
    <w:altName w:val="Arial"/>
    <w:panose1 w:val="020B0704020202020204"/>
    <w:charset w:characterSet="iso-8859-1"/>
    <w:family w:val="modern"/>
    <w:pitch w:val="default"/>
  </w:font>
  <w:font w:name="ZapfDingbats">
    <w:altName w:val="Wingdings"/>
    <w:panose1 w:val="00000000000000000000"/>
    <w:charset w:characterSet="iso-8859-1"/>
    <w:family w:val="decorative"/>
    <w:notTrueType/>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Calibri">
    <w:panose1 w:val="020F0502020204030204"/>
    <w:charset w:characterSet="iso-8859-1"/>
    <w:family w:val="swiss"/>
    <w:pitch w:val="variable"/>
    <w:sig w:usb0="E4002EFF" w:usb1="C000247B" w:usb2="00000009" w:usb3="00000000" w:csb0="000001FF" w:csb1="00000000"/>
  </w:font>
  <w:font w:name="PMingLiU">
    <w:altName w:val="新細明體"/>
    <w:panose1 w:val="02010601000101010101"/>
    <w:charset w:characterSet="Big5"/>
    <w:family w:val="roman"/>
    <w:pitch w:val="variable"/>
    <w:sig w:usb0="A00002FF" w:usb1="28CFFCFA" w:usb2="00000016" w:usb3="00000000" w:csb0="00100001" w:csb1="00000000"/>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9A4CE74" w14:textId="77777777" w:rsidR="000A0716" w:rsidRDefault="000A0716">
    <w:pPr>
      <w:pStyle w:val="Foote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6FCCF45" w14:textId="77777777" w:rsidR="000A0716" w:rsidRDefault="000A0716">
    <w:pPr>
      <w:pStyle w:val="Foote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B39528E" w14:textId="77777777" w:rsidR="000A0716" w:rsidRDefault="000A0716">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78F82F15" w14:textId="77777777" w:rsidR="00D64FA3" w:rsidRDefault="00D64FA3">
      <w:r>
        <w:separator/>
      </w:r>
    </w:p>
    <w:p w14:paraId="64333190" w14:textId="77777777" w:rsidR="00D64FA3" w:rsidRDefault="00D64FA3"/>
  </w:footnote>
  <w:footnote w:type="continuationSeparator" w:id="0">
    <w:p w14:paraId="1A440D76" w14:textId="77777777" w:rsidR="00D64FA3" w:rsidRDefault="00D64FA3">
      <w:r>
        <w:continuationSeparator/>
      </w:r>
    </w:p>
    <w:p w14:paraId="3FC52FE0" w14:textId="77777777" w:rsidR="00D64FA3" w:rsidRDefault="00D64FA3"/>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5192B60" w14:textId="77777777" w:rsidR="00C2201A" w:rsidRDefault="00C2201A"/>
  <w:p w14:paraId="01A1C8EA" w14:textId="77777777" w:rsidR="00C2201A" w:rsidRDefault="00C2201A"/>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211D04E" w14:textId="77777777" w:rsidR="00C2201A" w:rsidRDefault="00C2201A">
    <w:pPr>
      <w:framePr w:w="47.30pt" w:h="13.60pt" w:hRule="exact" w:wrap="around" w:vAnchor="text" w:hAnchor="margin" w:xAlign="center" w:y="0.05pt"/>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7</w:t>
    </w:r>
    <w:r>
      <w:rPr>
        <w:rFonts w:ascii="Arial" w:hAnsi="Arial" w:cs="Arial"/>
        <w:b/>
        <w:bCs/>
        <w:sz w:val="18"/>
      </w:rPr>
      <w:fldChar w:fldCharType="end"/>
    </w:r>
  </w:p>
  <w:p w14:paraId="0070E32F" w14:textId="77777777" w:rsidR="00C2201A" w:rsidRDefault="00C2201A"/>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8077631" w14:textId="77777777" w:rsidR="000A0716" w:rsidRDefault="000A0716">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0200049"/>
    <w:multiLevelType w:val="hybridMultilevel"/>
    <w:tmpl w:val="3ACADED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 w15:restartNumberingAfterBreak="0">
    <w:nsid w:val="07476537"/>
    <w:multiLevelType w:val="hybridMultilevel"/>
    <w:tmpl w:val="40569C1A"/>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 w15:restartNumberingAfterBreak="0">
    <w:nsid w:val="07D22552"/>
    <w:multiLevelType w:val="hybridMultilevel"/>
    <w:tmpl w:val="6642673C"/>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 w15:restartNumberingAfterBreak="0">
    <w:nsid w:val="09DE2F3C"/>
    <w:multiLevelType w:val="hybridMultilevel"/>
    <w:tmpl w:val="9FE83024"/>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 w15:restartNumberingAfterBreak="0">
    <w:nsid w:val="0B9B64DB"/>
    <w:multiLevelType w:val="hybridMultilevel"/>
    <w:tmpl w:val="FF62D71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 w15:restartNumberingAfterBreak="0">
    <w:nsid w:val="0F37694F"/>
    <w:multiLevelType w:val="hybridMultilevel"/>
    <w:tmpl w:val="A70E371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14B22C3F"/>
    <w:multiLevelType w:val="multilevel"/>
    <w:tmpl w:val="14B22C3F"/>
    <w:lvl w:ilvl="0">
      <w:start w:val="1"/>
      <w:numFmt w:val="bullet"/>
      <w:lvlText w:val=""/>
      <w:lvlJc w:val="start"/>
      <w:rPr>
        <w:rFonts w:ascii="Symbol" w:hAnsi="Symbol" w:hint="default"/>
        <w:color w:val="000000"/>
      </w:rPr>
    </w:lvl>
    <w:lvl w:ilvl="1">
      <w:start w:val="1"/>
      <w:numFmt w:val="bullet"/>
      <w:lvlText w:val="o"/>
      <w:lvlJc w:val="start"/>
      <w:pPr>
        <w:ind w:start="75.25pt" w:hanging="18pt"/>
      </w:pPr>
      <w:rPr>
        <w:rFonts w:ascii="Courier New" w:hAnsi="Courier New" w:cs="Courier New" w:hint="default"/>
      </w:rPr>
    </w:lvl>
    <w:lvl w:ilvl="2">
      <w:start w:val="1"/>
      <w:numFmt w:val="bullet"/>
      <w:lvlText w:val=""/>
      <w:lvlJc w:val="start"/>
      <w:pPr>
        <w:ind w:start="111.25pt" w:hanging="18pt"/>
      </w:pPr>
      <w:rPr>
        <w:rFonts w:ascii="Wingdings" w:hAnsi="Wingdings" w:hint="default"/>
      </w:rPr>
    </w:lvl>
    <w:lvl w:ilvl="3">
      <w:start w:val="1"/>
      <w:numFmt w:val="bullet"/>
      <w:lvlText w:val=""/>
      <w:lvlJc w:val="start"/>
      <w:pPr>
        <w:ind w:start="147.25pt" w:hanging="18pt"/>
      </w:pPr>
      <w:rPr>
        <w:rFonts w:ascii="Symbol" w:hAnsi="Symbol" w:hint="default"/>
      </w:rPr>
    </w:lvl>
    <w:lvl w:ilvl="4">
      <w:start w:val="1"/>
      <w:numFmt w:val="bullet"/>
      <w:lvlText w:val="o"/>
      <w:lvlJc w:val="start"/>
      <w:pPr>
        <w:ind w:start="183.25pt" w:hanging="18pt"/>
      </w:pPr>
      <w:rPr>
        <w:rFonts w:ascii="Courier New" w:hAnsi="Courier New" w:cs="Courier New" w:hint="default"/>
      </w:rPr>
    </w:lvl>
    <w:lvl w:ilvl="5">
      <w:start w:val="1"/>
      <w:numFmt w:val="bullet"/>
      <w:lvlText w:val=""/>
      <w:lvlJc w:val="start"/>
      <w:pPr>
        <w:ind w:start="219.25pt" w:hanging="18pt"/>
      </w:pPr>
      <w:rPr>
        <w:rFonts w:ascii="Wingdings" w:hAnsi="Wingdings" w:hint="default"/>
      </w:rPr>
    </w:lvl>
    <w:lvl w:ilvl="6">
      <w:start w:val="1"/>
      <w:numFmt w:val="bullet"/>
      <w:lvlText w:val=""/>
      <w:lvlJc w:val="start"/>
      <w:pPr>
        <w:ind w:start="255.25pt" w:hanging="18pt"/>
      </w:pPr>
      <w:rPr>
        <w:rFonts w:ascii="Symbol" w:hAnsi="Symbol" w:hint="default"/>
      </w:rPr>
    </w:lvl>
    <w:lvl w:ilvl="7">
      <w:start w:val="1"/>
      <w:numFmt w:val="bullet"/>
      <w:lvlText w:val="o"/>
      <w:lvlJc w:val="start"/>
      <w:pPr>
        <w:ind w:start="291.25pt" w:hanging="18pt"/>
      </w:pPr>
      <w:rPr>
        <w:rFonts w:ascii="Courier New" w:hAnsi="Courier New" w:cs="Courier New" w:hint="default"/>
      </w:rPr>
    </w:lvl>
    <w:lvl w:ilvl="8">
      <w:start w:val="1"/>
      <w:numFmt w:val="bullet"/>
      <w:lvlText w:val=""/>
      <w:lvlJc w:val="start"/>
      <w:pPr>
        <w:ind w:start="327.25pt" w:hanging="18pt"/>
      </w:pPr>
      <w:rPr>
        <w:rFonts w:ascii="Wingdings" w:hAnsi="Wingdings" w:hint="default"/>
      </w:rPr>
    </w:lvl>
  </w:abstractNum>
  <w:abstractNum w:abstractNumId="7" w15:restartNumberingAfterBreak="0">
    <w:nsid w:val="19672849"/>
    <w:multiLevelType w:val="hybridMultilevel"/>
    <w:tmpl w:val="84D09114"/>
    <w:lvl w:ilvl="0" w:tplc="0409000F">
      <w:start w:val="1"/>
      <w:numFmt w:val="decimal"/>
      <w:lvlText w:val="%1."/>
      <w:lvlJc w:val="start"/>
      <w:pPr>
        <w:ind w:start="36pt" w:hanging="18pt"/>
      </w:pPr>
      <w:rPr>
        <w:rFonts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19D81FCD"/>
    <w:multiLevelType w:val="multilevel"/>
    <w:tmpl w:val="19D81FCD"/>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9" w15:restartNumberingAfterBreak="0">
    <w:nsid w:val="200D3B3B"/>
    <w:multiLevelType w:val="hybridMultilevel"/>
    <w:tmpl w:val="EC5C087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start"/>
      <w:pPr>
        <w:tabs>
          <w:tab w:val="num" w:pos="17pt"/>
        </w:tabs>
        <w:ind w:start="34pt" w:hanging="17pt"/>
      </w:pPr>
      <w:rPr>
        <w:rFonts w:hint="default"/>
      </w:rPr>
    </w:lvl>
    <w:lvl w:ilvl="1">
      <w:start w:val="1"/>
      <w:numFmt w:val="lowerLetter"/>
      <w:pStyle w:val="Listletter"/>
      <w:lvlText w:val="%2)"/>
      <w:lvlJc w:val="start"/>
      <w:pPr>
        <w:tabs>
          <w:tab w:val="num" w:pos="51pt"/>
        </w:tabs>
        <w:ind w:start="68pt" w:hanging="17pt"/>
      </w:pPr>
      <w:rPr>
        <w:rFonts w:hint="default"/>
      </w:rPr>
    </w:lvl>
    <w:lvl w:ilvl="2">
      <w:start w:val="1"/>
      <w:numFmt w:val="lowerRoman"/>
      <w:pStyle w:val="ListParagraphRomans"/>
      <w:lvlText w:val="%3."/>
      <w:lvlJc w:val="start"/>
      <w:pPr>
        <w:tabs>
          <w:tab w:val="num" w:pos="85pt"/>
        </w:tabs>
        <w:ind w:start="102pt" w:hanging="17pt"/>
      </w:pPr>
      <w:rPr>
        <w:rFonts w:hint="default"/>
      </w:rPr>
    </w:lvl>
    <w:lvl w:ilvl="3">
      <w:start w:val="1"/>
      <w:numFmt w:val="none"/>
      <w:lvlText w:val="%4"/>
      <w:lvlJc w:val="start"/>
      <w:pPr>
        <w:tabs>
          <w:tab w:val="num" w:pos="119pt"/>
        </w:tabs>
        <w:ind w:start="136pt" w:hanging="17pt"/>
      </w:pPr>
      <w:rPr>
        <w:rFonts w:hint="default"/>
      </w:rPr>
    </w:lvl>
    <w:lvl w:ilvl="4">
      <w:start w:val="1"/>
      <w:numFmt w:val="none"/>
      <w:lvlText w:val="%5"/>
      <w:lvlJc w:val="start"/>
      <w:pPr>
        <w:tabs>
          <w:tab w:val="num" w:pos="153pt"/>
        </w:tabs>
        <w:ind w:start="170pt" w:hanging="17pt"/>
      </w:pPr>
      <w:rPr>
        <w:rFonts w:hint="default"/>
      </w:rPr>
    </w:lvl>
    <w:lvl w:ilvl="5">
      <w:start w:val="1"/>
      <w:numFmt w:val="none"/>
      <w:lvlText w:val="%6"/>
      <w:lvlJc w:val="end"/>
      <w:pPr>
        <w:tabs>
          <w:tab w:val="num" w:pos="187pt"/>
        </w:tabs>
        <w:ind w:start="204pt" w:hanging="17pt"/>
      </w:pPr>
      <w:rPr>
        <w:rFonts w:hint="default"/>
      </w:rPr>
    </w:lvl>
    <w:lvl w:ilvl="6">
      <w:start w:val="1"/>
      <w:numFmt w:val="none"/>
      <w:lvlText w:val="%7"/>
      <w:lvlJc w:val="start"/>
      <w:pPr>
        <w:tabs>
          <w:tab w:val="num" w:pos="221pt"/>
        </w:tabs>
        <w:ind w:start="238pt" w:hanging="17pt"/>
      </w:pPr>
      <w:rPr>
        <w:rFonts w:hint="default"/>
      </w:rPr>
    </w:lvl>
    <w:lvl w:ilvl="7">
      <w:start w:val="1"/>
      <w:numFmt w:val="none"/>
      <w:lvlText w:val="%8"/>
      <w:lvlJc w:val="start"/>
      <w:pPr>
        <w:tabs>
          <w:tab w:val="num" w:pos="255pt"/>
        </w:tabs>
        <w:ind w:start="272pt" w:hanging="17pt"/>
      </w:pPr>
      <w:rPr>
        <w:rFonts w:hint="default"/>
      </w:rPr>
    </w:lvl>
    <w:lvl w:ilvl="8">
      <w:start w:val="1"/>
      <w:numFmt w:val="none"/>
      <w:lvlText w:val="%9"/>
      <w:lvlJc w:val="end"/>
      <w:pPr>
        <w:tabs>
          <w:tab w:val="num" w:pos="289pt"/>
        </w:tabs>
        <w:ind w:start="306pt" w:hanging="17pt"/>
      </w:pPr>
      <w:rPr>
        <w:rFonts w:hint="default"/>
      </w:rPr>
    </w:lvl>
  </w:abstractNum>
  <w:abstractNum w:abstractNumId="11" w15:restartNumberingAfterBreak="0">
    <w:nsid w:val="25A27C41"/>
    <w:multiLevelType w:val="hybridMultilevel"/>
    <w:tmpl w:val="A7F8704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96409A8"/>
    <w:multiLevelType w:val="hybridMultilevel"/>
    <w:tmpl w:val="070E243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4" w15:restartNumberingAfterBreak="0">
    <w:nsid w:val="30C37481"/>
    <w:multiLevelType w:val="hybridMultilevel"/>
    <w:tmpl w:val="9C5606F4"/>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5" w15:restartNumberingAfterBreak="0">
    <w:nsid w:val="341663F8"/>
    <w:multiLevelType w:val="hybridMultilevel"/>
    <w:tmpl w:val="F7CE5980"/>
    <w:lvl w:ilvl="0" w:tplc="E58848EE">
      <w:start w:val="1"/>
      <w:numFmt w:val="bullet"/>
      <w:lvlText w:val="•"/>
      <w:lvlJc w:val="start"/>
      <w:pPr>
        <w:tabs>
          <w:tab w:val="num" w:pos="36pt"/>
        </w:tabs>
        <w:ind w:start="36pt" w:hanging="18pt"/>
      </w:pPr>
      <w:rPr>
        <w:rFonts w:ascii="Arial" w:hAnsi="Arial" w:hint="default"/>
      </w:rPr>
    </w:lvl>
    <w:lvl w:ilvl="1" w:tplc="519C5E9E" w:tentative="1">
      <w:start w:val="1"/>
      <w:numFmt w:val="bullet"/>
      <w:lvlText w:val="•"/>
      <w:lvlJc w:val="start"/>
      <w:pPr>
        <w:tabs>
          <w:tab w:val="num" w:pos="72pt"/>
        </w:tabs>
        <w:ind w:start="72pt" w:hanging="18pt"/>
      </w:pPr>
      <w:rPr>
        <w:rFonts w:ascii="Arial" w:hAnsi="Arial" w:hint="default"/>
      </w:rPr>
    </w:lvl>
    <w:lvl w:ilvl="2" w:tplc="30DCC2C2" w:tentative="1">
      <w:start w:val="1"/>
      <w:numFmt w:val="bullet"/>
      <w:lvlText w:val="•"/>
      <w:lvlJc w:val="start"/>
      <w:pPr>
        <w:tabs>
          <w:tab w:val="num" w:pos="108pt"/>
        </w:tabs>
        <w:ind w:start="108pt" w:hanging="18pt"/>
      </w:pPr>
      <w:rPr>
        <w:rFonts w:ascii="Arial" w:hAnsi="Arial" w:hint="default"/>
      </w:rPr>
    </w:lvl>
    <w:lvl w:ilvl="3" w:tplc="0D26D518" w:tentative="1">
      <w:start w:val="1"/>
      <w:numFmt w:val="bullet"/>
      <w:lvlText w:val="•"/>
      <w:lvlJc w:val="start"/>
      <w:pPr>
        <w:tabs>
          <w:tab w:val="num" w:pos="144pt"/>
        </w:tabs>
        <w:ind w:start="144pt" w:hanging="18pt"/>
      </w:pPr>
      <w:rPr>
        <w:rFonts w:ascii="Arial" w:hAnsi="Arial" w:hint="default"/>
      </w:rPr>
    </w:lvl>
    <w:lvl w:ilvl="4" w:tplc="9496B3AC" w:tentative="1">
      <w:start w:val="1"/>
      <w:numFmt w:val="bullet"/>
      <w:lvlText w:val="•"/>
      <w:lvlJc w:val="start"/>
      <w:pPr>
        <w:tabs>
          <w:tab w:val="num" w:pos="180pt"/>
        </w:tabs>
        <w:ind w:start="180pt" w:hanging="18pt"/>
      </w:pPr>
      <w:rPr>
        <w:rFonts w:ascii="Arial" w:hAnsi="Arial" w:hint="default"/>
      </w:rPr>
    </w:lvl>
    <w:lvl w:ilvl="5" w:tplc="7AF807D0" w:tentative="1">
      <w:start w:val="1"/>
      <w:numFmt w:val="bullet"/>
      <w:lvlText w:val="•"/>
      <w:lvlJc w:val="start"/>
      <w:pPr>
        <w:tabs>
          <w:tab w:val="num" w:pos="216pt"/>
        </w:tabs>
        <w:ind w:start="216pt" w:hanging="18pt"/>
      </w:pPr>
      <w:rPr>
        <w:rFonts w:ascii="Arial" w:hAnsi="Arial" w:hint="default"/>
      </w:rPr>
    </w:lvl>
    <w:lvl w:ilvl="6" w:tplc="2662EDC0" w:tentative="1">
      <w:start w:val="1"/>
      <w:numFmt w:val="bullet"/>
      <w:lvlText w:val="•"/>
      <w:lvlJc w:val="start"/>
      <w:pPr>
        <w:tabs>
          <w:tab w:val="num" w:pos="252pt"/>
        </w:tabs>
        <w:ind w:start="252pt" w:hanging="18pt"/>
      </w:pPr>
      <w:rPr>
        <w:rFonts w:ascii="Arial" w:hAnsi="Arial" w:hint="default"/>
      </w:rPr>
    </w:lvl>
    <w:lvl w:ilvl="7" w:tplc="808637C0" w:tentative="1">
      <w:start w:val="1"/>
      <w:numFmt w:val="bullet"/>
      <w:lvlText w:val="•"/>
      <w:lvlJc w:val="start"/>
      <w:pPr>
        <w:tabs>
          <w:tab w:val="num" w:pos="288pt"/>
        </w:tabs>
        <w:ind w:start="288pt" w:hanging="18pt"/>
      </w:pPr>
      <w:rPr>
        <w:rFonts w:ascii="Arial" w:hAnsi="Arial" w:hint="default"/>
      </w:rPr>
    </w:lvl>
    <w:lvl w:ilvl="8" w:tplc="4322DC3C" w:tentative="1">
      <w:start w:val="1"/>
      <w:numFmt w:val="bullet"/>
      <w:lvlText w:val="•"/>
      <w:lvlJc w:val="start"/>
      <w:pPr>
        <w:tabs>
          <w:tab w:val="num" w:pos="324pt"/>
        </w:tabs>
        <w:ind w:start="324pt" w:hanging="18pt"/>
      </w:pPr>
      <w:rPr>
        <w:rFonts w:ascii="Arial" w:hAnsi="Arial" w:hint="default"/>
      </w:rPr>
    </w:lvl>
  </w:abstractNum>
  <w:abstractNum w:abstractNumId="16" w15:restartNumberingAfterBreak="0">
    <w:nsid w:val="36AB7AD1"/>
    <w:multiLevelType w:val="hybridMultilevel"/>
    <w:tmpl w:val="CA90972E"/>
    <w:lvl w:ilvl="0" w:tplc="29CA7CAC">
      <w:start w:val="1"/>
      <w:numFmt w:val="bullet"/>
      <w:lvlRestart w:val="0"/>
      <w:lvlText w:val=""/>
      <w:lvlJc w:val="start"/>
      <w:pPr>
        <w:ind w:start="36pt" w:hanging="18pt"/>
      </w:pPr>
      <w:rPr>
        <w:rFonts w:ascii="Wingdings" w:hAnsi="Wingdings"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start"/>
      <w:pPr>
        <w:tabs>
          <w:tab w:val="num" w:pos="65.20pt"/>
        </w:tabs>
        <w:ind w:start="65.20pt" w:hanging="65.2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8" w15:restartNumberingAfterBreak="0">
    <w:nsid w:val="3C5F4E43"/>
    <w:multiLevelType w:val="hybridMultilevel"/>
    <w:tmpl w:val="42F05858"/>
    <w:lvl w:ilvl="0" w:tplc="04150019">
      <w:start w:val="1"/>
      <w:numFmt w:val="lowerLetter"/>
      <w:lvlText w:val="%1."/>
      <w:lvlJc w:val="start"/>
      <w:pPr>
        <w:ind w:start="72pt" w:hanging="18pt"/>
      </w:pPr>
    </w:lvl>
    <w:lvl w:ilvl="1" w:tplc="04150019" w:tentative="1">
      <w:start w:val="1"/>
      <w:numFmt w:val="lowerLetter"/>
      <w:lvlText w:val="%2."/>
      <w:lvlJc w:val="start"/>
      <w:pPr>
        <w:ind w:start="108pt" w:hanging="18pt"/>
      </w:pPr>
    </w:lvl>
    <w:lvl w:ilvl="2" w:tplc="0415001B" w:tentative="1">
      <w:start w:val="1"/>
      <w:numFmt w:val="lowerRoman"/>
      <w:lvlText w:val="%3."/>
      <w:lvlJc w:val="end"/>
      <w:pPr>
        <w:ind w:start="144pt" w:hanging="9pt"/>
      </w:pPr>
    </w:lvl>
    <w:lvl w:ilvl="3" w:tplc="0415000F" w:tentative="1">
      <w:start w:val="1"/>
      <w:numFmt w:val="decimal"/>
      <w:lvlText w:val="%4."/>
      <w:lvlJc w:val="start"/>
      <w:pPr>
        <w:ind w:start="180pt" w:hanging="18pt"/>
      </w:pPr>
    </w:lvl>
    <w:lvl w:ilvl="4" w:tplc="04150019" w:tentative="1">
      <w:start w:val="1"/>
      <w:numFmt w:val="lowerLetter"/>
      <w:lvlText w:val="%5."/>
      <w:lvlJc w:val="start"/>
      <w:pPr>
        <w:ind w:start="216pt" w:hanging="18pt"/>
      </w:pPr>
    </w:lvl>
    <w:lvl w:ilvl="5" w:tplc="0415001B" w:tentative="1">
      <w:start w:val="1"/>
      <w:numFmt w:val="lowerRoman"/>
      <w:lvlText w:val="%6."/>
      <w:lvlJc w:val="end"/>
      <w:pPr>
        <w:ind w:start="252pt" w:hanging="9pt"/>
      </w:pPr>
    </w:lvl>
    <w:lvl w:ilvl="6" w:tplc="0415000F" w:tentative="1">
      <w:start w:val="1"/>
      <w:numFmt w:val="decimal"/>
      <w:lvlText w:val="%7."/>
      <w:lvlJc w:val="start"/>
      <w:pPr>
        <w:ind w:start="288pt" w:hanging="18pt"/>
      </w:pPr>
    </w:lvl>
    <w:lvl w:ilvl="7" w:tplc="04150019" w:tentative="1">
      <w:start w:val="1"/>
      <w:numFmt w:val="lowerLetter"/>
      <w:lvlText w:val="%8."/>
      <w:lvlJc w:val="start"/>
      <w:pPr>
        <w:ind w:start="324pt" w:hanging="18pt"/>
      </w:pPr>
    </w:lvl>
    <w:lvl w:ilvl="8" w:tplc="0415001B" w:tentative="1">
      <w:start w:val="1"/>
      <w:numFmt w:val="lowerRoman"/>
      <w:lvlText w:val="%9."/>
      <w:lvlJc w:val="end"/>
      <w:pPr>
        <w:ind w:start="360pt" w:hanging="9pt"/>
      </w:pPr>
    </w:lvl>
  </w:abstractNum>
  <w:abstractNum w:abstractNumId="19" w15:restartNumberingAfterBreak="0">
    <w:nsid w:val="3C9C7030"/>
    <w:multiLevelType w:val="hybridMultilevel"/>
    <w:tmpl w:val="8534B1B8"/>
    <w:lvl w:ilvl="0" w:tplc="3DF42D9E">
      <w:start w:val="1"/>
      <w:numFmt w:val="decimal"/>
      <w:lvlText w:val="[%1]"/>
      <w:lvlJc w:val="start"/>
      <w:pPr>
        <w:ind w:start="36pt" w:hanging="18pt"/>
      </w:pPr>
      <w:rPr>
        <w:rFonts w:hint="default"/>
        <w:sz w:val="21"/>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0" w15:restartNumberingAfterBreak="0">
    <w:nsid w:val="3D6B6409"/>
    <w:multiLevelType w:val="hybridMultilevel"/>
    <w:tmpl w:val="D3785DCC"/>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1" w15:restartNumberingAfterBreak="0">
    <w:nsid w:val="3E3B207D"/>
    <w:multiLevelType w:val="hybridMultilevel"/>
    <w:tmpl w:val="1F86C20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2" w15:restartNumberingAfterBreak="0">
    <w:nsid w:val="3F1A05BA"/>
    <w:multiLevelType w:val="hybridMultilevel"/>
    <w:tmpl w:val="A4FA735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3" w15:restartNumberingAfterBreak="0">
    <w:nsid w:val="3FC93D01"/>
    <w:multiLevelType w:val="hybridMultilevel"/>
    <w:tmpl w:val="2570B5C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4" w15:restartNumberingAfterBreak="0">
    <w:nsid w:val="468519EC"/>
    <w:multiLevelType w:val="hybridMultilevel"/>
    <w:tmpl w:val="00D2C72E"/>
    <w:lvl w:ilvl="0" w:tplc="B5A8667A">
      <w:numFmt w:val="bullet"/>
      <w:lvlText w:val="-"/>
      <w:lvlJc w:val="start"/>
      <w:pPr>
        <w:ind w:start="38pt" w:hanging="18pt"/>
      </w:pPr>
      <w:rPr>
        <w:rFonts w:ascii="Times" w:eastAsia="Batang" w:hAnsi="Times" w:cs="Times" w:hint="default"/>
      </w:rPr>
    </w:lvl>
    <w:lvl w:ilvl="1" w:tplc="04090003">
      <w:start w:val="1"/>
      <w:numFmt w:val="bullet"/>
      <w:lvlText w:val="o"/>
      <w:lvlJc w:val="start"/>
      <w:pPr>
        <w:ind w:start="60pt" w:hanging="20pt"/>
      </w:pPr>
      <w:rPr>
        <w:rFonts w:ascii="Courier New" w:hAnsi="Courier New" w:cs="Courier New" w:hint="default"/>
      </w:rPr>
    </w:lvl>
    <w:lvl w:ilvl="2" w:tplc="04090005">
      <w:start w:val="1"/>
      <w:numFmt w:val="bullet"/>
      <w:lvlText w:val=""/>
      <w:lvlJc w:val="start"/>
      <w:pPr>
        <w:ind w:start="80pt" w:hanging="20pt"/>
      </w:pPr>
      <w:rPr>
        <w:rFonts w:ascii="Wingdings" w:hAnsi="Wingdings" w:hint="default"/>
      </w:rPr>
    </w:lvl>
    <w:lvl w:ilvl="3" w:tplc="04090001">
      <w:start w:val="1"/>
      <w:numFmt w:val="bullet"/>
      <w:lvlText w:val=""/>
      <w:lvlJc w:val="start"/>
      <w:pPr>
        <w:ind w:start="100pt" w:hanging="20pt"/>
      </w:pPr>
      <w:rPr>
        <w:rFonts w:ascii="Wingdings" w:hAnsi="Wingdings" w:hint="default"/>
      </w:rPr>
    </w:lvl>
    <w:lvl w:ilvl="4" w:tplc="04090003">
      <w:start w:val="1"/>
      <w:numFmt w:val="bullet"/>
      <w:lvlText w:val=""/>
      <w:lvlJc w:val="start"/>
      <w:pPr>
        <w:ind w:start="120pt" w:hanging="20pt"/>
      </w:pPr>
      <w:rPr>
        <w:rFonts w:ascii="Wingdings" w:hAnsi="Wingdings" w:hint="default"/>
      </w:rPr>
    </w:lvl>
    <w:lvl w:ilvl="5" w:tplc="04090005">
      <w:start w:val="1"/>
      <w:numFmt w:val="bullet"/>
      <w:lvlText w:val=""/>
      <w:lvlJc w:val="start"/>
      <w:pPr>
        <w:ind w:start="140pt" w:hanging="20pt"/>
      </w:pPr>
      <w:rPr>
        <w:rFonts w:ascii="Wingdings" w:hAnsi="Wingdings" w:hint="default"/>
      </w:rPr>
    </w:lvl>
    <w:lvl w:ilvl="6" w:tplc="04090001">
      <w:start w:val="1"/>
      <w:numFmt w:val="bullet"/>
      <w:lvlText w:val=""/>
      <w:lvlJc w:val="start"/>
      <w:pPr>
        <w:ind w:start="160pt" w:hanging="20pt"/>
      </w:pPr>
      <w:rPr>
        <w:rFonts w:ascii="Wingdings" w:hAnsi="Wingdings" w:hint="default"/>
      </w:rPr>
    </w:lvl>
    <w:lvl w:ilvl="7" w:tplc="04090003">
      <w:start w:val="1"/>
      <w:numFmt w:val="bullet"/>
      <w:lvlText w:val=""/>
      <w:lvlJc w:val="start"/>
      <w:pPr>
        <w:ind w:start="180pt" w:hanging="20pt"/>
      </w:pPr>
      <w:rPr>
        <w:rFonts w:ascii="Wingdings" w:hAnsi="Wingdings" w:hint="default"/>
      </w:rPr>
    </w:lvl>
    <w:lvl w:ilvl="8" w:tplc="04090005">
      <w:start w:val="1"/>
      <w:numFmt w:val="bullet"/>
      <w:lvlText w:val=""/>
      <w:lvlJc w:val="start"/>
      <w:pPr>
        <w:ind w:start="200pt" w:hanging="20pt"/>
      </w:pPr>
      <w:rPr>
        <w:rFonts w:ascii="Wingdings" w:hAnsi="Wingdings" w:hint="default"/>
      </w:rPr>
    </w:lvl>
  </w:abstractNum>
  <w:abstractNum w:abstractNumId="25" w15:restartNumberingAfterBreak="0">
    <w:nsid w:val="469509F0"/>
    <w:multiLevelType w:val="multilevel"/>
    <w:tmpl w:val="469509F0"/>
    <w:lvl w:ilvl="0">
      <w:start w:val="1"/>
      <w:numFmt w:val="bullet"/>
      <w:lvlText w:val=""/>
      <w:lvlJc w:val="start"/>
      <w:pPr>
        <w:tabs>
          <w:tab w:val="start" w:pos="36pt"/>
        </w:tabs>
        <w:ind w:start="36pt" w:hanging="18pt"/>
      </w:pPr>
      <w:rPr>
        <w:rFonts w:ascii="Symbol" w:hAnsi="Symbol" w:hint="default"/>
        <w:sz w:val="20"/>
      </w:rPr>
    </w:lvl>
    <w:lvl w:ilvl="1">
      <w:start w:val="1"/>
      <w:numFmt w:val="bullet"/>
      <w:lvlText w:val="o"/>
      <w:lvlJc w:val="start"/>
      <w:pPr>
        <w:tabs>
          <w:tab w:val="start" w:pos="72pt"/>
        </w:tabs>
        <w:ind w:start="72pt" w:hanging="18pt"/>
      </w:pPr>
      <w:rPr>
        <w:rFonts w:ascii="Courier New" w:hAnsi="Courier New" w:cs="Times New Roman" w:hint="default"/>
        <w:sz w:val="20"/>
      </w:rPr>
    </w:lvl>
    <w:lvl w:ilvl="2">
      <w:start w:val="1"/>
      <w:numFmt w:val="bullet"/>
      <w:lvlText w:val=""/>
      <w:lvlJc w:val="start"/>
      <w:pPr>
        <w:tabs>
          <w:tab w:val="start" w:pos="108pt"/>
        </w:tabs>
        <w:ind w:start="108pt" w:hanging="18pt"/>
      </w:pPr>
      <w:rPr>
        <w:rFonts w:ascii="Wingdings" w:hAnsi="Wingdings" w:hint="default"/>
        <w:sz w:val="20"/>
      </w:rPr>
    </w:lvl>
    <w:lvl w:ilvl="3">
      <w:start w:val="1"/>
      <w:numFmt w:val="bullet"/>
      <w:lvlText w:val=""/>
      <w:lvlJc w:val="start"/>
      <w:pPr>
        <w:tabs>
          <w:tab w:val="start" w:pos="144pt"/>
        </w:tabs>
        <w:ind w:start="144pt" w:hanging="18pt"/>
      </w:pPr>
      <w:rPr>
        <w:rFonts w:ascii="Wingdings" w:hAnsi="Wingdings" w:hint="default"/>
        <w:sz w:val="20"/>
      </w:rPr>
    </w:lvl>
    <w:lvl w:ilvl="4">
      <w:start w:val="1"/>
      <w:numFmt w:val="bullet"/>
      <w:lvlText w:val=""/>
      <w:lvlJc w:val="start"/>
      <w:pPr>
        <w:tabs>
          <w:tab w:val="start" w:pos="180pt"/>
        </w:tabs>
        <w:ind w:start="180pt" w:hanging="18pt"/>
      </w:pPr>
      <w:rPr>
        <w:rFonts w:ascii="Wingdings" w:hAnsi="Wingdings" w:hint="default"/>
        <w:sz w:val="20"/>
      </w:rPr>
    </w:lvl>
    <w:lvl w:ilvl="5">
      <w:start w:val="1"/>
      <w:numFmt w:val="bullet"/>
      <w:lvlText w:val=""/>
      <w:lvlJc w:val="start"/>
      <w:pPr>
        <w:tabs>
          <w:tab w:val="start" w:pos="216pt"/>
        </w:tabs>
        <w:ind w:start="216pt" w:hanging="18pt"/>
      </w:pPr>
      <w:rPr>
        <w:rFonts w:ascii="Wingdings" w:hAnsi="Wingdings" w:hint="default"/>
        <w:sz w:val="20"/>
      </w:rPr>
    </w:lvl>
    <w:lvl w:ilvl="6">
      <w:start w:val="1"/>
      <w:numFmt w:val="bullet"/>
      <w:lvlText w:val=""/>
      <w:lvlJc w:val="start"/>
      <w:pPr>
        <w:tabs>
          <w:tab w:val="start" w:pos="252pt"/>
        </w:tabs>
        <w:ind w:start="252pt" w:hanging="18pt"/>
      </w:pPr>
      <w:rPr>
        <w:rFonts w:ascii="Wingdings" w:hAnsi="Wingdings" w:hint="default"/>
        <w:sz w:val="20"/>
      </w:rPr>
    </w:lvl>
    <w:lvl w:ilvl="7">
      <w:start w:val="1"/>
      <w:numFmt w:val="bullet"/>
      <w:lvlText w:val=""/>
      <w:lvlJc w:val="start"/>
      <w:pPr>
        <w:tabs>
          <w:tab w:val="start" w:pos="288pt"/>
        </w:tabs>
        <w:ind w:start="288pt" w:hanging="18pt"/>
      </w:pPr>
      <w:rPr>
        <w:rFonts w:ascii="Wingdings" w:hAnsi="Wingdings" w:hint="default"/>
        <w:sz w:val="20"/>
      </w:rPr>
    </w:lvl>
    <w:lvl w:ilvl="8">
      <w:start w:val="1"/>
      <w:numFmt w:val="bullet"/>
      <w:lvlText w:val=""/>
      <w:lvlJc w:val="start"/>
      <w:pPr>
        <w:tabs>
          <w:tab w:val="start" w:pos="324pt"/>
        </w:tabs>
        <w:ind w:start="324pt" w:hanging="18pt"/>
      </w:pPr>
      <w:rPr>
        <w:rFonts w:ascii="Wingdings" w:hAnsi="Wingdings" w:hint="default"/>
        <w:sz w:val="20"/>
      </w:rPr>
    </w:lvl>
  </w:abstractNum>
  <w:abstractNum w:abstractNumId="26" w15:restartNumberingAfterBreak="0">
    <w:nsid w:val="4E3471EC"/>
    <w:multiLevelType w:val="hybridMultilevel"/>
    <w:tmpl w:val="4C26A464"/>
    <w:lvl w:ilvl="0" w:tplc="830CE1BA">
      <w:start w:val="1"/>
      <w:numFmt w:val="decimal"/>
      <w:lvlText w:val="%1."/>
      <w:lvlJc w:val="start"/>
      <w:pPr>
        <w:ind w:start="80.95pt" w:hanging="18pt"/>
      </w:pPr>
      <w:rPr>
        <w:rFonts w:hint="default"/>
      </w:rPr>
    </w:lvl>
    <w:lvl w:ilvl="1" w:tplc="04090019" w:tentative="1">
      <w:start w:val="1"/>
      <w:numFmt w:val="lowerLetter"/>
      <w:lvlText w:val="%2."/>
      <w:lvlJc w:val="start"/>
      <w:pPr>
        <w:ind w:start="116.95pt" w:hanging="18pt"/>
      </w:pPr>
    </w:lvl>
    <w:lvl w:ilvl="2" w:tplc="0409001B" w:tentative="1">
      <w:start w:val="1"/>
      <w:numFmt w:val="lowerRoman"/>
      <w:lvlText w:val="%3."/>
      <w:lvlJc w:val="end"/>
      <w:pPr>
        <w:ind w:start="152.95pt" w:hanging="9pt"/>
      </w:pPr>
    </w:lvl>
    <w:lvl w:ilvl="3" w:tplc="0409000F" w:tentative="1">
      <w:start w:val="1"/>
      <w:numFmt w:val="decimal"/>
      <w:lvlText w:val="%4."/>
      <w:lvlJc w:val="start"/>
      <w:pPr>
        <w:ind w:start="188.95pt" w:hanging="18pt"/>
      </w:pPr>
    </w:lvl>
    <w:lvl w:ilvl="4" w:tplc="04090019" w:tentative="1">
      <w:start w:val="1"/>
      <w:numFmt w:val="lowerLetter"/>
      <w:lvlText w:val="%5."/>
      <w:lvlJc w:val="start"/>
      <w:pPr>
        <w:ind w:start="224.95pt" w:hanging="18pt"/>
      </w:pPr>
    </w:lvl>
    <w:lvl w:ilvl="5" w:tplc="0409001B" w:tentative="1">
      <w:start w:val="1"/>
      <w:numFmt w:val="lowerRoman"/>
      <w:lvlText w:val="%6."/>
      <w:lvlJc w:val="end"/>
      <w:pPr>
        <w:ind w:start="260.95pt" w:hanging="9pt"/>
      </w:pPr>
    </w:lvl>
    <w:lvl w:ilvl="6" w:tplc="0409000F" w:tentative="1">
      <w:start w:val="1"/>
      <w:numFmt w:val="decimal"/>
      <w:lvlText w:val="%7."/>
      <w:lvlJc w:val="start"/>
      <w:pPr>
        <w:ind w:start="296.95pt" w:hanging="18pt"/>
      </w:pPr>
    </w:lvl>
    <w:lvl w:ilvl="7" w:tplc="04090019" w:tentative="1">
      <w:start w:val="1"/>
      <w:numFmt w:val="lowerLetter"/>
      <w:lvlText w:val="%8."/>
      <w:lvlJc w:val="start"/>
      <w:pPr>
        <w:ind w:start="332.95pt" w:hanging="18pt"/>
      </w:pPr>
    </w:lvl>
    <w:lvl w:ilvl="8" w:tplc="0409001B" w:tentative="1">
      <w:start w:val="1"/>
      <w:numFmt w:val="lowerRoman"/>
      <w:lvlText w:val="%9."/>
      <w:lvlJc w:val="end"/>
      <w:pPr>
        <w:ind w:start="368.95pt" w:hanging="9pt"/>
      </w:pPr>
    </w:lvl>
  </w:abstractNum>
  <w:abstractNum w:abstractNumId="27" w15:restartNumberingAfterBreak="0">
    <w:nsid w:val="4F441B11"/>
    <w:multiLevelType w:val="hybridMultilevel"/>
    <w:tmpl w:val="4D4CCF76"/>
    <w:lvl w:ilvl="0" w:tplc="0409000F">
      <w:start w:val="1"/>
      <w:numFmt w:val="decimal"/>
      <w:lvlText w:val="%1."/>
      <w:lvlJc w:val="start"/>
      <w:pPr>
        <w:ind w:start="36pt" w:hanging="18pt"/>
      </w:pPr>
      <w:rPr>
        <w:rFonts w:hint="default"/>
        <w:color w:val="auto"/>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8" w15:restartNumberingAfterBreak="0">
    <w:nsid w:val="501623A0"/>
    <w:multiLevelType w:val="hybridMultilevel"/>
    <w:tmpl w:val="E38C1CEA"/>
    <w:lvl w:ilvl="0" w:tplc="0409000F">
      <w:start w:val="1"/>
      <w:numFmt w:val="decimal"/>
      <w:lvlText w:val="%1."/>
      <w:lvlJc w:val="start"/>
      <w:pPr>
        <w:ind w:start="36pt" w:hanging="18pt"/>
      </w:pPr>
      <w:rPr>
        <w:rFonts w:hint="default"/>
        <w:color w:val="auto"/>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9" w15:restartNumberingAfterBreak="0">
    <w:nsid w:val="515565CE"/>
    <w:multiLevelType w:val="hybridMultilevel"/>
    <w:tmpl w:val="DF22BFB2"/>
    <w:lvl w:ilvl="0" w:tplc="0409000F">
      <w:start w:val="1"/>
      <w:numFmt w:val="decimal"/>
      <w:lvlText w:val="%1."/>
      <w:lvlJc w:val="start"/>
      <w:pPr>
        <w:ind w:start="36pt" w:hanging="18pt"/>
      </w:pPr>
      <w:rPr>
        <w:rFonts w:hint="default"/>
        <w:b w:val="0"/>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0" w15:restartNumberingAfterBreak="0">
    <w:nsid w:val="538C75C4"/>
    <w:multiLevelType w:val="multilevel"/>
    <w:tmpl w:val="65C485A0"/>
    <w:lvl w:ilvl="0">
      <w:start w:val="1"/>
      <w:numFmt w:val="decimal"/>
      <w:pStyle w:val="TableCaption"/>
      <w:suff w:val="nothing"/>
      <w:lvlText w:val="Table %1"/>
      <w:lvlJc w:val="start"/>
      <w:pPr>
        <w:ind w:start="18pt" w:hanging="18pt"/>
      </w:pPr>
      <w:rPr>
        <w:rFonts w:ascii="Arial Bold" w:hAnsi="Arial Bold" w:hint="default"/>
        <w:b/>
        <w:i w:val="0"/>
        <w:color w:val="auto"/>
        <w:sz w:val="22"/>
      </w:rPr>
    </w:lvl>
    <w:lvl w:ilvl="1">
      <w:start w:val="1"/>
      <w:numFmt w:val="decimal"/>
      <w:lvlText w:val="%2."/>
      <w:lvlJc w:val="start"/>
      <w:pPr>
        <w:tabs>
          <w:tab w:val="num" w:pos="72pt"/>
        </w:tabs>
        <w:ind w:start="72pt" w:hanging="18pt"/>
      </w:pPr>
      <w:rPr>
        <w:rFonts w:hint="default"/>
      </w:rPr>
    </w:lvl>
    <w:lvl w:ilvl="2">
      <w:start w:val="1"/>
      <w:numFmt w:val="lowerRoman"/>
      <w:lvlText w:val="%3."/>
      <w:lvlJc w:val="end"/>
      <w:pPr>
        <w:tabs>
          <w:tab w:val="num" w:pos="108pt"/>
        </w:tabs>
        <w:ind w:start="108pt" w:hanging="9pt"/>
      </w:pPr>
      <w:rPr>
        <w:rFonts w:hint="default"/>
      </w:rPr>
    </w:lvl>
    <w:lvl w:ilvl="3">
      <w:start w:val="1"/>
      <w:numFmt w:val="decimal"/>
      <w:lvlText w:val="%4."/>
      <w:lvlJc w:val="start"/>
      <w:pPr>
        <w:tabs>
          <w:tab w:val="num" w:pos="144pt"/>
        </w:tabs>
        <w:ind w:start="144pt" w:hanging="18pt"/>
      </w:pPr>
      <w:rPr>
        <w:rFonts w:hint="default"/>
      </w:rPr>
    </w:lvl>
    <w:lvl w:ilvl="4">
      <w:start w:val="1"/>
      <w:numFmt w:val="lowerLetter"/>
      <w:lvlText w:val="%5."/>
      <w:lvlJc w:val="start"/>
      <w:pPr>
        <w:tabs>
          <w:tab w:val="num" w:pos="180pt"/>
        </w:tabs>
        <w:ind w:start="180pt" w:hanging="18pt"/>
      </w:pPr>
      <w:rPr>
        <w:rFonts w:hint="default"/>
      </w:rPr>
    </w:lvl>
    <w:lvl w:ilvl="5">
      <w:start w:val="1"/>
      <w:numFmt w:val="lowerRoman"/>
      <w:lvlText w:val="%6."/>
      <w:lvlJc w:val="end"/>
      <w:pPr>
        <w:tabs>
          <w:tab w:val="num" w:pos="216pt"/>
        </w:tabs>
        <w:ind w:start="216pt" w:hanging="9pt"/>
      </w:pPr>
      <w:rPr>
        <w:rFonts w:hint="default"/>
      </w:rPr>
    </w:lvl>
    <w:lvl w:ilvl="6">
      <w:start w:val="1"/>
      <w:numFmt w:val="decimal"/>
      <w:lvlText w:val="%7."/>
      <w:lvlJc w:val="start"/>
      <w:pPr>
        <w:tabs>
          <w:tab w:val="num" w:pos="252pt"/>
        </w:tabs>
        <w:ind w:start="252pt" w:hanging="18pt"/>
      </w:pPr>
      <w:rPr>
        <w:rFonts w:hint="default"/>
      </w:rPr>
    </w:lvl>
    <w:lvl w:ilvl="7">
      <w:start w:val="1"/>
      <w:numFmt w:val="lowerLetter"/>
      <w:lvlText w:val="%8."/>
      <w:lvlJc w:val="start"/>
      <w:pPr>
        <w:tabs>
          <w:tab w:val="num" w:pos="288pt"/>
        </w:tabs>
        <w:ind w:start="288pt" w:hanging="18pt"/>
      </w:pPr>
      <w:rPr>
        <w:rFonts w:hint="default"/>
      </w:rPr>
    </w:lvl>
    <w:lvl w:ilvl="8">
      <w:start w:val="1"/>
      <w:numFmt w:val="lowerRoman"/>
      <w:lvlText w:val="%9."/>
      <w:lvlJc w:val="end"/>
      <w:pPr>
        <w:tabs>
          <w:tab w:val="num" w:pos="324pt"/>
        </w:tabs>
        <w:ind w:start="324pt" w:hanging="9pt"/>
      </w:pPr>
      <w:rPr>
        <w:rFonts w:hint="default"/>
      </w:rPr>
    </w:lvl>
  </w:abstractNum>
  <w:abstractNum w:abstractNumId="31" w15:restartNumberingAfterBreak="0">
    <w:nsid w:val="582A7D5B"/>
    <w:multiLevelType w:val="hybridMultilevel"/>
    <w:tmpl w:val="AFAC092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2" w15:restartNumberingAfterBreak="0">
    <w:nsid w:val="695E144E"/>
    <w:multiLevelType w:val="hybridMultilevel"/>
    <w:tmpl w:val="64BC11A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3" w15:restartNumberingAfterBreak="0">
    <w:nsid w:val="6B3403DC"/>
    <w:multiLevelType w:val="hybridMultilevel"/>
    <w:tmpl w:val="8D4AD9B2"/>
    <w:lvl w:ilvl="0" w:tplc="B5A8667A">
      <w:numFmt w:val="bullet"/>
      <w:lvlText w:val="-"/>
      <w:lvlJc w:val="start"/>
      <w:pPr>
        <w:ind w:start="38pt" w:hanging="18pt"/>
      </w:pPr>
      <w:rPr>
        <w:rFonts w:ascii="Times" w:eastAsia="Batang" w:hAnsi="Times" w:cs="Times"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6B945A36"/>
    <w:multiLevelType w:val="hybridMultilevel"/>
    <w:tmpl w:val="26E0DDD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6D3F48DD"/>
    <w:multiLevelType w:val="hybridMultilevel"/>
    <w:tmpl w:val="1F0A236A"/>
    <w:lvl w:ilvl="0" w:tplc="0616CEC4">
      <w:start w:val="1"/>
      <w:numFmt w:val="bullet"/>
      <w:lvlText w:val="•"/>
      <w:lvlJc w:val="start"/>
      <w:pPr>
        <w:tabs>
          <w:tab w:val="num" w:pos="36pt"/>
        </w:tabs>
        <w:ind w:start="36pt" w:hanging="18pt"/>
      </w:pPr>
      <w:rPr>
        <w:rFonts w:ascii="Arial" w:hAnsi="Arial" w:hint="default"/>
      </w:rPr>
    </w:lvl>
    <w:lvl w:ilvl="1" w:tplc="F5F669B4" w:tentative="1">
      <w:start w:val="1"/>
      <w:numFmt w:val="bullet"/>
      <w:lvlText w:val="•"/>
      <w:lvlJc w:val="start"/>
      <w:pPr>
        <w:tabs>
          <w:tab w:val="num" w:pos="72pt"/>
        </w:tabs>
        <w:ind w:start="72pt" w:hanging="18pt"/>
      </w:pPr>
      <w:rPr>
        <w:rFonts w:ascii="Arial" w:hAnsi="Arial" w:hint="default"/>
      </w:rPr>
    </w:lvl>
    <w:lvl w:ilvl="2" w:tplc="936E5960" w:tentative="1">
      <w:start w:val="1"/>
      <w:numFmt w:val="bullet"/>
      <w:lvlText w:val="•"/>
      <w:lvlJc w:val="start"/>
      <w:pPr>
        <w:tabs>
          <w:tab w:val="num" w:pos="108pt"/>
        </w:tabs>
        <w:ind w:start="108pt" w:hanging="18pt"/>
      </w:pPr>
      <w:rPr>
        <w:rFonts w:ascii="Arial" w:hAnsi="Arial" w:hint="default"/>
      </w:rPr>
    </w:lvl>
    <w:lvl w:ilvl="3" w:tplc="518A6C70" w:tentative="1">
      <w:start w:val="1"/>
      <w:numFmt w:val="bullet"/>
      <w:lvlText w:val="•"/>
      <w:lvlJc w:val="start"/>
      <w:pPr>
        <w:tabs>
          <w:tab w:val="num" w:pos="144pt"/>
        </w:tabs>
        <w:ind w:start="144pt" w:hanging="18pt"/>
      </w:pPr>
      <w:rPr>
        <w:rFonts w:ascii="Arial" w:hAnsi="Arial" w:hint="default"/>
      </w:rPr>
    </w:lvl>
    <w:lvl w:ilvl="4" w:tplc="A774ACEC" w:tentative="1">
      <w:start w:val="1"/>
      <w:numFmt w:val="bullet"/>
      <w:lvlText w:val="•"/>
      <w:lvlJc w:val="start"/>
      <w:pPr>
        <w:tabs>
          <w:tab w:val="num" w:pos="180pt"/>
        </w:tabs>
        <w:ind w:start="180pt" w:hanging="18pt"/>
      </w:pPr>
      <w:rPr>
        <w:rFonts w:ascii="Arial" w:hAnsi="Arial" w:hint="default"/>
      </w:rPr>
    </w:lvl>
    <w:lvl w:ilvl="5" w:tplc="8BDAB93C" w:tentative="1">
      <w:start w:val="1"/>
      <w:numFmt w:val="bullet"/>
      <w:lvlText w:val="•"/>
      <w:lvlJc w:val="start"/>
      <w:pPr>
        <w:tabs>
          <w:tab w:val="num" w:pos="216pt"/>
        </w:tabs>
        <w:ind w:start="216pt" w:hanging="18pt"/>
      </w:pPr>
      <w:rPr>
        <w:rFonts w:ascii="Arial" w:hAnsi="Arial" w:hint="default"/>
      </w:rPr>
    </w:lvl>
    <w:lvl w:ilvl="6" w:tplc="C212D5CC" w:tentative="1">
      <w:start w:val="1"/>
      <w:numFmt w:val="bullet"/>
      <w:lvlText w:val="•"/>
      <w:lvlJc w:val="start"/>
      <w:pPr>
        <w:tabs>
          <w:tab w:val="num" w:pos="252pt"/>
        </w:tabs>
        <w:ind w:start="252pt" w:hanging="18pt"/>
      </w:pPr>
      <w:rPr>
        <w:rFonts w:ascii="Arial" w:hAnsi="Arial" w:hint="default"/>
      </w:rPr>
    </w:lvl>
    <w:lvl w:ilvl="7" w:tplc="8A02D5E0" w:tentative="1">
      <w:start w:val="1"/>
      <w:numFmt w:val="bullet"/>
      <w:lvlText w:val="•"/>
      <w:lvlJc w:val="start"/>
      <w:pPr>
        <w:tabs>
          <w:tab w:val="num" w:pos="288pt"/>
        </w:tabs>
        <w:ind w:start="288pt" w:hanging="18pt"/>
      </w:pPr>
      <w:rPr>
        <w:rFonts w:ascii="Arial" w:hAnsi="Arial" w:hint="default"/>
      </w:rPr>
    </w:lvl>
    <w:lvl w:ilvl="8" w:tplc="6FA6C678" w:tentative="1">
      <w:start w:val="1"/>
      <w:numFmt w:val="bullet"/>
      <w:lvlText w:val="•"/>
      <w:lvlJc w:val="start"/>
      <w:pPr>
        <w:tabs>
          <w:tab w:val="num" w:pos="324pt"/>
        </w:tabs>
        <w:ind w:start="324pt" w:hanging="18pt"/>
      </w:pPr>
      <w:rPr>
        <w:rFonts w:ascii="Arial" w:hAnsi="Arial" w:hint="default"/>
      </w:rPr>
    </w:lvl>
  </w:abstractNum>
  <w:abstractNum w:abstractNumId="36" w15:restartNumberingAfterBreak="0">
    <w:nsid w:val="6E6E31EA"/>
    <w:multiLevelType w:val="multilevel"/>
    <w:tmpl w:val="6E6E31EA"/>
    <w:lvl w:ilvl="0">
      <w:start w:val="1"/>
      <w:numFmt w:val="bullet"/>
      <w:lvlText w:val=""/>
      <w:lvlJc w:val="start"/>
      <w:pPr>
        <w:ind w:start="36pt" w:hanging="18pt"/>
      </w:pPr>
      <w:rPr>
        <w:rFonts w:ascii="Wingdings" w:hAnsi="Wingdings"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start"/>
      <w:pPr>
        <w:tabs>
          <w:tab w:val="num" w:pos="26.95pt"/>
        </w:tabs>
        <w:ind w:start="26.95pt" w:hanging="18pt"/>
      </w:pPr>
      <w:rPr>
        <w:rFonts w:ascii="Symbol" w:hAnsi="Symbol" w:hint="default"/>
        <w:b/>
        <w:i w:val="0"/>
        <w:color w:val="auto"/>
        <w:sz w:val="22"/>
      </w:rPr>
    </w:lvl>
    <w:lvl w:ilvl="1" w:tplc="04090003">
      <w:start w:val="1"/>
      <w:numFmt w:val="bullet"/>
      <w:lvlText w:val="o"/>
      <w:lvlJc w:val="start"/>
      <w:pPr>
        <w:tabs>
          <w:tab w:val="num" w:pos="18pt"/>
        </w:tabs>
        <w:ind w:start="18pt" w:hanging="18pt"/>
      </w:pPr>
      <w:rPr>
        <w:rFonts w:ascii="Courier New" w:hAnsi="Courier New" w:cs="Courier New" w:hint="default"/>
      </w:rPr>
    </w:lvl>
    <w:lvl w:ilvl="2" w:tplc="04090005">
      <w:start w:val="1"/>
      <w:numFmt w:val="bullet"/>
      <w:lvlText w:val=""/>
      <w:lvlJc w:val="start"/>
      <w:pPr>
        <w:tabs>
          <w:tab w:val="num" w:pos="54pt"/>
        </w:tabs>
        <w:ind w:start="54pt" w:hanging="18pt"/>
      </w:pPr>
      <w:rPr>
        <w:rFonts w:ascii="Wingdings" w:hAnsi="Wingdings" w:hint="default"/>
      </w:rPr>
    </w:lvl>
    <w:lvl w:ilvl="3" w:tplc="04090001">
      <w:start w:val="1"/>
      <w:numFmt w:val="bullet"/>
      <w:lvlText w:val=""/>
      <w:lvlJc w:val="start"/>
      <w:pPr>
        <w:tabs>
          <w:tab w:val="num" w:pos="90pt"/>
        </w:tabs>
        <w:ind w:start="90pt" w:hanging="18pt"/>
      </w:pPr>
      <w:rPr>
        <w:rFonts w:ascii="Symbol" w:hAnsi="Symbol" w:hint="default"/>
      </w:rPr>
    </w:lvl>
    <w:lvl w:ilvl="4" w:tplc="04090003">
      <w:start w:val="1"/>
      <w:numFmt w:val="bullet"/>
      <w:lvlText w:val="o"/>
      <w:lvlJc w:val="start"/>
      <w:pPr>
        <w:tabs>
          <w:tab w:val="num" w:pos="126pt"/>
        </w:tabs>
        <w:ind w:start="126pt" w:hanging="18pt"/>
      </w:pPr>
      <w:rPr>
        <w:rFonts w:ascii="Courier New" w:hAnsi="Courier New" w:cs="Courier New" w:hint="default"/>
      </w:rPr>
    </w:lvl>
    <w:lvl w:ilvl="5" w:tplc="04090005">
      <w:start w:val="1"/>
      <w:numFmt w:val="bullet"/>
      <w:lvlText w:val=""/>
      <w:lvlJc w:val="start"/>
      <w:pPr>
        <w:tabs>
          <w:tab w:val="num" w:pos="162pt"/>
        </w:tabs>
        <w:ind w:start="162pt" w:hanging="18pt"/>
      </w:pPr>
      <w:rPr>
        <w:rFonts w:ascii="Wingdings" w:hAnsi="Wingdings" w:hint="default"/>
      </w:rPr>
    </w:lvl>
    <w:lvl w:ilvl="6" w:tplc="04090001">
      <w:start w:val="1"/>
      <w:numFmt w:val="bullet"/>
      <w:lvlText w:val=""/>
      <w:lvlJc w:val="start"/>
      <w:pPr>
        <w:tabs>
          <w:tab w:val="num" w:pos="198pt"/>
        </w:tabs>
        <w:ind w:start="198pt" w:hanging="18pt"/>
      </w:pPr>
      <w:rPr>
        <w:rFonts w:ascii="Symbol" w:hAnsi="Symbol" w:hint="default"/>
      </w:rPr>
    </w:lvl>
    <w:lvl w:ilvl="7" w:tplc="04090003">
      <w:start w:val="1"/>
      <w:numFmt w:val="bullet"/>
      <w:lvlText w:val="o"/>
      <w:lvlJc w:val="start"/>
      <w:pPr>
        <w:tabs>
          <w:tab w:val="num" w:pos="234pt"/>
        </w:tabs>
        <w:ind w:start="234pt" w:hanging="18pt"/>
      </w:pPr>
      <w:rPr>
        <w:rFonts w:ascii="Courier New" w:hAnsi="Courier New" w:cs="Courier New" w:hint="default"/>
      </w:rPr>
    </w:lvl>
    <w:lvl w:ilvl="8" w:tplc="04090005">
      <w:start w:val="1"/>
      <w:numFmt w:val="bullet"/>
      <w:lvlText w:val=""/>
      <w:lvlJc w:val="start"/>
      <w:pPr>
        <w:tabs>
          <w:tab w:val="num" w:pos="270pt"/>
        </w:tabs>
        <w:ind w:start="270pt" w:hanging="18pt"/>
      </w:pPr>
      <w:rPr>
        <w:rFonts w:ascii="Wingdings" w:hAnsi="Wingdings" w:hint="default"/>
      </w:rPr>
    </w:lvl>
  </w:abstractNum>
  <w:abstractNum w:abstractNumId="38" w15:restartNumberingAfterBreak="0">
    <w:nsid w:val="779E3AC8"/>
    <w:multiLevelType w:val="hybridMultilevel"/>
    <w:tmpl w:val="8F320FF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9" w15:restartNumberingAfterBreak="0">
    <w:nsid w:val="78C8750F"/>
    <w:multiLevelType w:val="multilevel"/>
    <w:tmpl w:val="04090025"/>
    <w:lvl w:ilvl="0">
      <w:start w:val="1"/>
      <w:numFmt w:val="decimal"/>
      <w:pStyle w:val="Heading1"/>
      <w:lvlText w:val="%1"/>
      <w:lvlJc w:val="start"/>
      <w:pPr>
        <w:ind w:start="21.60pt" w:hanging="21.60pt"/>
      </w:pPr>
    </w:lvl>
    <w:lvl w:ilvl="1">
      <w:start w:val="1"/>
      <w:numFmt w:val="decimal"/>
      <w:pStyle w:val="Heading2"/>
      <w:lvlText w:val="%1.%2"/>
      <w:lvlJc w:val="start"/>
      <w:pPr>
        <w:ind w:start="73.80pt" w:hanging="28.80pt"/>
      </w:pPr>
    </w:lvl>
    <w:lvl w:ilvl="2">
      <w:start w:val="1"/>
      <w:numFmt w:val="decimal"/>
      <w:pStyle w:val="Heading3"/>
      <w:lvlText w:val="%1.%2.%3"/>
      <w:lvlJc w:val="start"/>
      <w:pPr>
        <w:ind w:start="36pt" w:hanging="36pt"/>
      </w:pPr>
    </w:lvl>
    <w:lvl w:ilvl="3">
      <w:start w:val="1"/>
      <w:numFmt w:val="decimal"/>
      <w:pStyle w:val="Heading4"/>
      <w:lvlText w:val="%1.%2.%3.%4"/>
      <w:lvlJc w:val="start"/>
      <w:pPr>
        <w:ind w:start="43.20pt" w:hanging="43.20pt"/>
      </w:pPr>
    </w:lvl>
    <w:lvl w:ilvl="4">
      <w:start w:val="1"/>
      <w:numFmt w:val="decimal"/>
      <w:pStyle w:val="Heading5"/>
      <w:lvlText w:val="%1.%2.%3.%4.%5"/>
      <w:lvlJc w:val="start"/>
      <w:pPr>
        <w:ind w:start="50.40pt" w:hanging="50.40pt"/>
      </w:pPr>
    </w:lvl>
    <w:lvl w:ilvl="5">
      <w:start w:val="1"/>
      <w:numFmt w:val="decimal"/>
      <w:pStyle w:val="Heading6"/>
      <w:lvlText w:val="%1.%2.%3.%4.%5.%6"/>
      <w:lvlJc w:val="start"/>
      <w:pPr>
        <w:ind w:start="57.60pt" w:hanging="57.60pt"/>
      </w:pPr>
    </w:lvl>
    <w:lvl w:ilvl="6">
      <w:start w:val="1"/>
      <w:numFmt w:val="decimal"/>
      <w:pStyle w:val="Heading7"/>
      <w:lvlText w:val="%1.%2.%3.%4.%5.%6.%7"/>
      <w:lvlJc w:val="start"/>
      <w:pPr>
        <w:ind w:start="64.80pt" w:hanging="64.80pt"/>
      </w:pPr>
    </w:lvl>
    <w:lvl w:ilvl="7">
      <w:start w:val="1"/>
      <w:numFmt w:val="decimal"/>
      <w:pStyle w:val="Heading8"/>
      <w:lvlText w:val="%1.%2.%3.%4.%5.%6.%7.%8"/>
      <w:lvlJc w:val="start"/>
      <w:pPr>
        <w:ind w:start="72pt" w:hanging="72pt"/>
      </w:pPr>
    </w:lvl>
    <w:lvl w:ilvl="8">
      <w:start w:val="1"/>
      <w:numFmt w:val="decimal"/>
      <w:pStyle w:val="Heading9"/>
      <w:lvlText w:val="%1.%2.%3.%4.%5.%6.%7.%8.%9"/>
      <w:lvlJc w:val="start"/>
      <w:pPr>
        <w:ind w:start="79.20pt" w:hanging="79.20pt"/>
      </w:pPr>
    </w:lvl>
  </w:abstractNum>
  <w:abstractNum w:abstractNumId="40" w15:restartNumberingAfterBreak="0">
    <w:nsid w:val="79352BF6"/>
    <w:multiLevelType w:val="hybridMultilevel"/>
    <w:tmpl w:val="56C8874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1" w15:restartNumberingAfterBreak="0">
    <w:nsid w:val="7A001490"/>
    <w:multiLevelType w:val="hybridMultilevel"/>
    <w:tmpl w:val="D38AD6A0"/>
    <w:lvl w:ilvl="0" w:tplc="0409000F">
      <w:start w:val="1"/>
      <w:numFmt w:val="decimal"/>
      <w:lvlText w:val="%1."/>
      <w:lvlJc w:val="start"/>
      <w:pPr>
        <w:ind w:start="36pt" w:hanging="18pt"/>
      </w:pPr>
      <w:rPr>
        <w:rFonts w:hint="default"/>
        <w:color w:val="auto"/>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Batang"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Batang"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Batang"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16cid:durableId="185408661">
    <w:abstractNumId w:val="42"/>
  </w:num>
  <w:num w:numId="2" w16cid:durableId="857936613">
    <w:abstractNumId w:val="39"/>
  </w:num>
  <w:num w:numId="3" w16cid:durableId="369234018">
    <w:abstractNumId w:val="19"/>
  </w:num>
  <w:num w:numId="4" w16cid:durableId="866790493">
    <w:abstractNumId w:val="30"/>
  </w:num>
  <w:num w:numId="5" w16cid:durableId="642389301">
    <w:abstractNumId w:val="10"/>
  </w:num>
  <w:num w:numId="6" w16cid:durableId="883256882">
    <w:abstractNumId w:val="12"/>
  </w:num>
  <w:num w:numId="7" w16cid:durableId="946355144">
    <w:abstractNumId w:val="37"/>
  </w:num>
  <w:num w:numId="8" w16cid:durableId="978655254">
    <w:abstractNumId w:val="18"/>
  </w:num>
  <w:num w:numId="9" w16cid:durableId="673920244">
    <w:abstractNumId w:val="38"/>
  </w:num>
  <w:num w:numId="10" w16cid:durableId="816922984">
    <w:abstractNumId w:val="17"/>
  </w:num>
  <w:num w:numId="11" w16cid:durableId="1703087709">
    <w:abstractNumId w:val="20"/>
  </w:num>
  <w:num w:numId="12" w16cid:durableId="732388373">
    <w:abstractNumId w:val="31"/>
  </w:num>
  <w:num w:numId="13" w16cid:durableId="1377467797">
    <w:abstractNumId w:val="5"/>
  </w:num>
  <w:num w:numId="14" w16cid:durableId="557397584">
    <w:abstractNumId w:val="22"/>
  </w:num>
  <w:num w:numId="15" w16cid:durableId="1372194897">
    <w:abstractNumId w:val="41"/>
  </w:num>
  <w:num w:numId="16" w16cid:durableId="910576028">
    <w:abstractNumId w:val="26"/>
  </w:num>
  <w:num w:numId="17" w16cid:durableId="463937236">
    <w:abstractNumId w:val="24"/>
  </w:num>
  <w:num w:numId="18" w16cid:durableId="1916552470">
    <w:abstractNumId w:val="8"/>
  </w:num>
  <w:num w:numId="19" w16cid:durableId="625039386">
    <w:abstractNumId w:val="25"/>
  </w:num>
  <w:num w:numId="20" w16cid:durableId="706489115">
    <w:abstractNumId w:val="6"/>
  </w:num>
  <w:num w:numId="21" w16cid:durableId="1971132492">
    <w:abstractNumId w:val="11"/>
  </w:num>
  <w:num w:numId="22" w16cid:durableId="1647323154">
    <w:abstractNumId w:val="27"/>
  </w:num>
  <w:num w:numId="23" w16cid:durableId="2012826408">
    <w:abstractNumId w:val="2"/>
  </w:num>
  <w:num w:numId="24" w16cid:durableId="306017183">
    <w:abstractNumId w:val="7"/>
  </w:num>
  <w:num w:numId="25" w16cid:durableId="1877036012">
    <w:abstractNumId w:val="32"/>
  </w:num>
  <w:num w:numId="26" w16cid:durableId="1725595044">
    <w:abstractNumId w:val="9"/>
  </w:num>
  <w:num w:numId="27" w16cid:durableId="1350646686">
    <w:abstractNumId w:val="14"/>
  </w:num>
  <w:num w:numId="28" w16cid:durableId="1853838242">
    <w:abstractNumId w:val="33"/>
  </w:num>
  <w:num w:numId="29" w16cid:durableId="1038896473">
    <w:abstractNumId w:val="28"/>
  </w:num>
  <w:num w:numId="30" w16cid:durableId="582304017">
    <w:abstractNumId w:val="13"/>
  </w:num>
  <w:num w:numId="31" w16cid:durableId="1784886997">
    <w:abstractNumId w:val="4"/>
  </w:num>
  <w:num w:numId="32" w16cid:durableId="973825698">
    <w:abstractNumId w:val="21"/>
  </w:num>
  <w:num w:numId="33" w16cid:durableId="887957809">
    <w:abstractNumId w:val="15"/>
  </w:num>
  <w:num w:numId="34" w16cid:durableId="172033107">
    <w:abstractNumId w:val="35"/>
  </w:num>
  <w:num w:numId="35" w16cid:durableId="90047755">
    <w:abstractNumId w:val="40"/>
  </w:num>
  <w:num w:numId="36" w16cid:durableId="376320613">
    <w:abstractNumId w:val="36"/>
  </w:num>
  <w:num w:numId="37" w16cid:durableId="59056726">
    <w:abstractNumId w:val="23"/>
  </w:num>
  <w:num w:numId="38" w16cid:durableId="1945578599">
    <w:abstractNumId w:val="0"/>
  </w:num>
  <w:num w:numId="39" w16cid:durableId="742217916">
    <w:abstractNumId w:val="37"/>
  </w:num>
  <w:num w:numId="40" w16cid:durableId="2115438310">
    <w:abstractNumId w:val="1"/>
  </w:num>
  <w:num w:numId="41" w16cid:durableId="1154294650">
    <w:abstractNumId w:val="29"/>
  </w:num>
  <w:num w:numId="42" w16cid:durableId="11736396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2211091">
    <w:abstractNumId w:val="16"/>
  </w:num>
  <w:num w:numId="44" w16cid:durableId="2093700543">
    <w:abstractNumId w:val="3"/>
  </w:num>
  <w:num w:numId="45" w16cid:durableId="1273781528">
    <w:abstractNumId w:val="34"/>
  </w:num>
  <w:numIdMacAtCleanup w:val="1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doNotTrackMoves/>
  <w:defaultTabStop w:val="64.90pt"/>
  <w:hyphenationZone w:val="17.85pt"/>
  <w:characterSpacingControl w:val="doNotCompress"/>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14DF"/>
    <w:rsid w:val="0000341B"/>
    <w:rsid w:val="000068F9"/>
    <w:rsid w:val="00010917"/>
    <w:rsid w:val="00010D76"/>
    <w:rsid w:val="00010F45"/>
    <w:rsid w:val="00011393"/>
    <w:rsid w:val="00012946"/>
    <w:rsid w:val="00013367"/>
    <w:rsid w:val="000163FC"/>
    <w:rsid w:val="00016491"/>
    <w:rsid w:val="00020F3C"/>
    <w:rsid w:val="00022953"/>
    <w:rsid w:val="00023106"/>
    <w:rsid w:val="00023B7D"/>
    <w:rsid w:val="00024081"/>
    <w:rsid w:val="00024753"/>
    <w:rsid w:val="00024B8D"/>
    <w:rsid w:val="00024BA4"/>
    <w:rsid w:val="00027E74"/>
    <w:rsid w:val="00030250"/>
    <w:rsid w:val="00031410"/>
    <w:rsid w:val="000346B7"/>
    <w:rsid w:val="00035357"/>
    <w:rsid w:val="00037DEE"/>
    <w:rsid w:val="000410BE"/>
    <w:rsid w:val="000452AF"/>
    <w:rsid w:val="00046AC3"/>
    <w:rsid w:val="00050960"/>
    <w:rsid w:val="000515AA"/>
    <w:rsid w:val="000520EF"/>
    <w:rsid w:val="00052989"/>
    <w:rsid w:val="00053B16"/>
    <w:rsid w:val="00053B77"/>
    <w:rsid w:val="00056C34"/>
    <w:rsid w:val="00056EB0"/>
    <w:rsid w:val="0005702A"/>
    <w:rsid w:val="00057080"/>
    <w:rsid w:val="0005789B"/>
    <w:rsid w:val="000610EB"/>
    <w:rsid w:val="0006566E"/>
    <w:rsid w:val="000659FC"/>
    <w:rsid w:val="00067869"/>
    <w:rsid w:val="000678B9"/>
    <w:rsid w:val="00073070"/>
    <w:rsid w:val="000736BD"/>
    <w:rsid w:val="00073FDF"/>
    <w:rsid w:val="0007617D"/>
    <w:rsid w:val="000762F9"/>
    <w:rsid w:val="00076DE5"/>
    <w:rsid w:val="0007720F"/>
    <w:rsid w:val="000777D7"/>
    <w:rsid w:val="00080137"/>
    <w:rsid w:val="000806ED"/>
    <w:rsid w:val="00080956"/>
    <w:rsid w:val="00083DE0"/>
    <w:rsid w:val="000861DC"/>
    <w:rsid w:val="00086940"/>
    <w:rsid w:val="00086AB3"/>
    <w:rsid w:val="00087C0C"/>
    <w:rsid w:val="00087E82"/>
    <w:rsid w:val="00091411"/>
    <w:rsid w:val="00091B29"/>
    <w:rsid w:val="00094795"/>
    <w:rsid w:val="00095A61"/>
    <w:rsid w:val="00095DC0"/>
    <w:rsid w:val="000A0716"/>
    <w:rsid w:val="000A1A02"/>
    <w:rsid w:val="000A3B19"/>
    <w:rsid w:val="000A4674"/>
    <w:rsid w:val="000A693B"/>
    <w:rsid w:val="000A7FA5"/>
    <w:rsid w:val="000B073E"/>
    <w:rsid w:val="000B0C75"/>
    <w:rsid w:val="000B1ACF"/>
    <w:rsid w:val="000B1E83"/>
    <w:rsid w:val="000B5447"/>
    <w:rsid w:val="000B57A4"/>
    <w:rsid w:val="000C2346"/>
    <w:rsid w:val="000C296A"/>
    <w:rsid w:val="000C3E4B"/>
    <w:rsid w:val="000C50B2"/>
    <w:rsid w:val="000C6060"/>
    <w:rsid w:val="000C654B"/>
    <w:rsid w:val="000C6959"/>
    <w:rsid w:val="000D2242"/>
    <w:rsid w:val="000D2514"/>
    <w:rsid w:val="000D5977"/>
    <w:rsid w:val="000D5F55"/>
    <w:rsid w:val="000D62CF"/>
    <w:rsid w:val="000D772F"/>
    <w:rsid w:val="000E0A6B"/>
    <w:rsid w:val="000E1075"/>
    <w:rsid w:val="000E2254"/>
    <w:rsid w:val="000E2CA4"/>
    <w:rsid w:val="000E37C3"/>
    <w:rsid w:val="000E3C8B"/>
    <w:rsid w:val="000E6AD2"/>
    <w:rsid w:val="000E6BC0"/>
    <w:rsid w:val="000E75E6"/>
    <w:rsid w:val="000F064E"/>
    <w:rsid w:val="000F0B52"/>
    <w:rsid w:val="000F24A4"/>
    <w:rsid w:val="000F44B8"/>
    <w:rsid w:val="000F7174"/>
    <w:rsid w:val="000F7FA6"/>
    <w:rsid w:val="00100D2A"/>
    <w:rsid w:val="0010120D"/>
    <w:rsid w:val="00101F24"/>
    <w:rsid w:val="00101F80"/>
    <w:rsid w:val="00102020"/>
    <w:rsid w:val="00103145"/>
    <w:rsid w:val="00106D9E"/>
    <w:rsid w:val="00110733"/>
    <w:rsid w:val="00110784"/>
    <w:rsid w:val="00112588"/>
    <w:rsid w:val="00113356"/>
    <w:rsid w:val="00113A25"/>
    <w:rsid w:val="001150F6"/>
    <w:rsid w:val="00116737"/>
    <w:rsid w:val="00117D41"/>
    <w:rsid w:val="00120A01"/>
    <w:rsid w:val="00120DED"/>
    <w:rsid w:val="00120E37"/>
    <w:rsid w:val="001210D8"/>
    <w:rsid w:val="00124ED7"/>
    <w:rsid w:val="00125164"/>
    <w:rsid w:val="0012645F"/>
    <w:rsid w:val="0013098D"/>
    <w:rsid w:val="001309B4"/>
    <w:rsid w:val="00132C80"/>
    <w:rsid w:val="00133E27"/>
    <w:rsid w:val="00134715"/>
    <w:rsid w:val="0013733E"/>
    <w:rsid w:val="0014089B"/>
    <w:rsid w:val="00140CEC"/>
    <w:rsid w:val="00141A33"/>
    <w:rsid w:val="00142104"/>
    <w:rsid w:val="00143A0D"/>
    <w:rsid w:val="0014472B"/>
    <w:rsid w:val="00145B9D"/>
    <w:rsid w:val="001470E8"/>
    <w:rsid w:val="00147D17"/>
    <w:rsid w:val="00147E9A"/>
    <w:rsid w:val="00150292"/>
    <w:rsid w:val="00152738"/>
    <w:rsid w:val="0015291C"/>
    <w:rsid w:val="00152ADD"/>
    <w:rsid w:val="00152D52"/>
    <w:rsid w:val="001551D9"/>
    <w:rsid w:val="00155906"/>
    <w:rsid w:val="00156591"/>
    <w:rsid w:val="00156BDB"/>
    <w:rsid w:val="001570F6"/>
    <w:rsid w:val="00157563"/>
    <w:rsid w:val="00157DF3"/>
    <w:rsid w:val="00165A90"/>
    <w:rsid w:val="001671FE"/>
    <w:rsid w:val="00171E10"/>
    <w:rsid w:val="0017201A"/>
    <w:rsid w:val="001739E1"/>
    <w:rsid w:val="00174FA9"/>
    <w:rsid w:val="00175686"/>
    <w:rsid w:val="00176D50"/>
    <w:rsid w:val="0017726E"/>
    <w:rsid w:val="00180B8D"/>
    <w:rsid w:val="00183D6D"/>
    <w:rsid w:val="001842F4"/>
    <w:rsid w:val="00186C20"/>
    <w:rsid w:val="001872A5"/>
    <w:rsid w:val="00192372"/>
    <w:rsid w:val="001925DA"/>
    <w:rsid w:val="00193777"/>
    <w:rsid w:val="00194350"/>
    <w:rsid w:val="00195336"/>
    <w:rsid w:val="0019665F"/>
    <w:rsid w:val="00197278"/>
    <w:rsid w:val="001A029F"/>
    <w:rsid w:val="001A0B2E"/>
    <w:rsid w:val="001A0FA0"/>
    <w:rsid w:val="001A19FC"/>
    <w:rsid w:val="001A28B1"/>
    <w:rsid w:val="001A2C87"/>
    <w:rsid w:val="001A47B6"/>
    <w:rsid w:val="001A4F6F"/>
    <w:rsid w:val="001B16D5"/>
    <w:rsid w:val="001B3667"/>
    <w:rsid w:val="001B36C2"/>
    <w:rsid w:val="001B3705"/>
    <w:rsid w:val="001B46C7"/>
    <w:rsid w:val="001B5A36"/>
    <w:rsid w:val="001B735E"/>
    <w:rsid w:val="001B7780"/>
    <w:rsid w:val="001C28D1"/>
    <w:rsid w:val="001C2CE8"/>
    <w:rsid w:val="001C2EC5"/>
    <w:rsid w:val="001C37B6"/>
    <w:rsid w:val="001C37C6"/>
    <w:rsid w:val="001C4590"/>
    <w:rsid w:val="001C508F"/>
    <w:rsid w:val="001C539B"/>
    <w:rsid w:val="001C54B0"/>
    <w:rsid w:val="001C6089"/>
    <w:rsid w:val="001C6AEB"/>
    <w:rsid w:val="001C6BE1"/>
    <w:rsid w:val="001D066F"/>
    <w:rsid w:val="001D1E21"/>
    <w:rsid w:val="001D420F"/>
    <w:rsid w:val="001D472D"/>
    <w:rsid w:val="001D56D0"/>
    <w:rsid w:val="001E0010"/>
    <w:rsid w:val="001E17B4"/>
    <w:rsid w:val="001E391B"/>
    <w:rsid w:val="001E7647"/>
    <w:rsid w:val="001E7C4D"/>
    <w:rsid w:val="001F0B93"/>
    <w:rsid w:val="001F4146"/>
    <w:rsid w:val="001F546F"/>
    <w:rsid w:val="001F58BB"/>
    <w:rsid w:val="00202EF1"/>
    <w:rsid w:val="00203FF3"/>
    <w:rsid w:val="00204D5E"/>
    <w:rsid w:val="00205E15"/>
    <w:rsid w:val="00206446"/>
    <w:rsid w:val="002073AE"/>
    <w:rsid w:val="00207E3C"/>
    <w:rsid w:val="00207FCB"/>
    <w:rsid w:val="0021318D"/>
    <w:rsid w:val="002132D6"/>
    <w:rsid w:val="0021394D"/>
    <w:rsid w:val="00216275"/>
    <w:rsid w:val="00216CDA"/>
    <w:rsid w:val="0021768C"/>
    <w:rsid w:val="00223FA8"/>
    <w:rsid w:val="00225026"/>
    <w:rsid w:val="0022553B"/>
    <w:rsid w:val="002258D5"/>
    <w:rsid w:val="00225BD6"/>
    <w:rsid w:val="002332E4"/>
    <w:rsid w:val="00233CB1"/>
    <w:rsid w:val="0023537E"/>
    <w:rsid w:val="00235FB6"/>
    <w:rsid w:val="0023631A"/>
    <w:rsid w:val="002363FB"/>
    <w:rsid w:val="0023761F"/>
    <w:rsid w:val="002420D2"/>
    <w:rsid w:val="00242D18"/>
    <w:rsid w:val="00242F78"/>
    <w:rsid w:val="002432FC"/>
    <w:rsid w:val="00244DFF"/>
    <w:rsid w:val="00245CE7"/>
    <w:rsid w:val="00247AEC"/>
    <w:rsid w:val="00250B18"/>
    <w:rsid w:val="00250B57"/>
    <w:rsid w:val="002524A8"/>
    <w:rsid w:val="00252518"/>
    <w:rsid w:val="00262D17"/>
    <w:rsid w:val="00263504"/>
    <w:rsid w:val="002641BF"/>
    <w:rsid w:val="002646E1"/>
    <w:rsid w:val="00266642"/>
    <w:rsid w:val="002668E6"/>
    <w:rsid w:val="00267A1F"/>
    <w:rsid w:val="00267AD3"/>
    <w:rsid w:val="00272FFE"/>
    <w:rsid w:val="0027408B"/>
    <w:rsid w:val="0027579D"/>
    <w:rsid w:val="00277D18"/>
    <w:rsid w:val="002819D4"/>
    <w:rsid w:val="002863E7"/>
    <w:rsid w:val="00286C65"/>
    <w:rsid w:val="00290195"/>
    <w:rsid w:val="0029597A"/>
    <w:rsid w:val="00296EEF"/>
    <w:rsid w:val="002A08E8"/>
    <w:rsid w:val="002A15AA"/>
    <w:rsid w:val="002A2D80"/>
    <w:rsid w:val="002A6022"/>
    <w:rsid w:val="002A6291"/>
    <w:rsid w:val="002A7FA0"/>
    <w:rsid w:val="002B121A"/>
    <w:rsid w:val="002B2291"/>
    <w:rsid w:val="002B3917"/>
    <w:rsid w:val="002B406F"/>
    <w:rsid w:val="002B429B"/>
    <w:rsid w:val="002B4B28"/>
    <w:rsid w:val="002B56FF"/>
    <w:rsid w:val="002B58C9"/>
    <w:rsid w:val="002B5C33"/>
    <w:rsid w:val="002B64D5"/>
    <w:rsid w:val="002B75EE"/>
    <w:rsid w:val="002C1E4D"/>
    <w:rsid w:val="002C31E4"/>
    <w:rsid w:val="002C4B4A"/>
    <w:rsid w:val="002C4E2D"/>
    <w:rsid w:val="002C50B9"/>
    <w:rsid w:val="002C570F"/>
    <w:rsid w:val="002C76D5"/>
    <w:rsid w:val="002D00E4"/>
    <w:rsid w:val="002D2B92"/>
    <w:rsid w:val="002D2C4B"/>
    <w:rsid w:val="002D38AB"/>
    <w:rsid w:val="002D4466"/>
    <w:rsid w:val="002D4766"/>
    <w:rsid w:val="002D5D1A"/>
    <w:rsid w:val="002D6F60"/>
    <w:rsid w:val="002D7F3E"/>
    <w:rsid w:val="002E02CB"/>
    <w:rsid w:val="002E02E9"/>
    <w:rsid w:val="002E0CEC"/>
    <w:rsid w:val="002E15B9"/>
    <w:rsid w:val="002E25EE"/>
    <w:rsid w:val="002E2F84"/>
    <w:rsid w:val="002E3F70"/>
    <w:rsid w:val="002E527F"/>
    <w:rsid w:val="002E532F"/>
    <w:rsid w:val="002F079B"/>
    <w:rsid w:val="002F08B7"/>
    <w:rsid w:val="002F28C8"/>
    <w:rsid w:val="002F475D"/>
    <w:rsid w:val="002F55FC"/>
    <w:rsid w:val="002F5A37"/>
    <w:rsid w:val="002F6B38"/>
    <w:rsid w:val="002F6BD6"/>
    <w:rsid w:val="002F719D"/>
    <w:rsid w:val="002F78BA"/>
    <w:rsid w:val="0030249D"/>
    <w:rsid w:val="0030460F"/>
    <w:rsid w:val="0030664C"/>
    <w:rsid w:val="0031068C"/>
    <w:rsid w:val="00310C00"/>
    <w:rsid w:val="0031213F"/>
    <w:rsid w:val="00312634"/>
    <w:rsid w:val="003128DB"/>
    <w:rsid w:val="00312F4D"/>
    <w:rsid w:val="00313D86"/>
    <w:rsid w:val="00314556"/>
    <w:rsid w:val="00314AB8"/>
    <w:rsid w:val="00317611"/>
    <w:rsid w:val="0032352F"/>
    <w:rsid w:val="0033013E"/>
    <w:rsid w:val="00330D8B"/>
    <w:rsid w:val="00330F93"/>
    <w:rsid w:val="003317E0"/>
    <w:rsid w:val="003336F1"/>
    <w:rsid w:val="00334D57"/>
    <w:rsid w:val="00336111"/>
    <w:rsid w:val="003363B9"/>
    <w:rsid w:val="00344B4E"/>
    <w:rsid w:val="003451AA"/>
    <w:rsid w:val="00347DFF"/>
    <w:rsid w:val="00351CAE"/>
    <w:rsid w:val="00351E31"/>
    <w:rsid w:val="00353C45"/>
    <w:rsid w:val="00353DF2"/>
    <w:rsid w:val="003553A3"/>
    <w:rsid w:val="0035554B"/>
    <w:rsid w:val="00356349"/>
    <w:rsid w:val="00356D8A"/>
    <w:rsid w:val="00357E21"/>
    <w:rsid w:val="00360845"/>
    <w:rsid w:val="00361516"/>
    <w:rsid w:val="00361B2F"/>
    <w:rsid w:val="00361EA1"/>
    <w:rsid w:val="0036213B"/>
    <w:rsid w:val="003621A4"/>
    <w:rsid w:val="00362629"/>
    <w:rsid w:val="00363032"/>
    <w:rsid w:val="00364AC2"/>
    <w:rsid w:val="003652B8"/>
    <w:rsid w:val="003668C3"/>
    <w:rsid w:val="0037005F"/>
    <w:rsid w:val="00371977"/>
    <w:rsid w:val="00371DDD"/>
    <w:rsid w:val="00371FD7"/>
    <w:rsid w:val="00372763"/>
    <w:rsid w:val="00372AEC"/>
    <w:rsid w:val="00373086"/>
    <w:rsid w:val="00373D34"/>
    <w:rsid w:val="003802A4"/>
    <w:rsid w:val="003806D0"/>
    <w:rsid w:val="003830DB"/>
    <w:rsid w:val="00383F56"/>
    <w:rsid w:val="003856FF"/>
    <w:rsid w:val="00385D49"/>
    <w:rsid w:val="00386764"/>
    <w:rsid w:val="00387193"/>
    <w:rsid w:val="003872A7"/>
    <w:rsid w:val="00391119"/>
    <w:rsid w:val="00391FA9"/>
    <w:rsid w:val="00392861"/>
    <w:rsid w:val="003930B9"/>
    <w:rsid w:val="00394649"/>
    <w:rsid w:val="00397DC8"/>
    <w:rsid w:val="003A2F64"/>
    <w:rsid w:val="003A4C7E"/>
    <w:rsid w:val="003B2C12"/>
    <w:rsid w:val="003B2F0C"/>
    <w:rsid w:val="003B461E"/>
    <w:rsid w:val="003B7A52"/>
    <w:rsid w:val="003C150E"/>
    <w:rsid w:val="003C30CB"/>
    <w:rsid w:val="003C513A"/>
    <w:rsid w:val="003C5C54"/>
    <w:rsid w:val="003C7D42"/>
    <w:rsid w:val="003C7D65"/>
    <w:rsid w:val="003D03B0"/>
    <w:rsid w:val="003D03B8"/>
    <w:rsid w:val="003D29A8"/>
    <w:rsid w:val="003D2C63"/>
    <w:rsid w:val="003D5443"/>
    <w:rsid w:val="003D6246"/>
    <w:rsid w:val="003D6FF4"/>
    <w:rsid w:val="003E1D9B"/>
    <w:rsid w:val="003E2BF5"/>
    <w:rsid w:val="003E4655"/>
    <w:rsid w:val="003E4F96"/>
    <w:rsid w:val="003E56B2"/>
    <w:rsid w:val="003E5DD9"/>
    <w:rsid w:val="003E6B0E"/>
    <w:rsid w:val="003E787C"/>
    <w:rsid w:val="003E78E0"/>
    <w:rsid w:val="003F12AF"/>
    <w:rsid w:val="003F2880"/>
    <w:rsid w:val="003F4E16"/>
    <w:rsid w:val="003F6E81"/>
    <w:rsid w:val="00400157"/>
    <w:rsid w:val="00400380"/>
    <w:rsid w:val="00400B55"/>
    <w:rsid w:val="00401F8B"/>
    <w:rsid w:val="0040298F"/>
    <w:rsid w:val="00403824"/>
    <w:rsid w:val="00403FA1"/>
    <w:rsid w:val="00404828"/>
    <w:rsid w:val="00405DFD"/>
    <w:rsid w:val="00406853"/>
    <w:rsid w:val="0040721A"/>
    <w:rsid w:val="00410BE0"/>
    <w:rsid w:val="00411013"/>
    <w:rsid w:val="00413485"/>
    <w:rsid w:val="0041355A"/>
    <w:rsid w:val="00413F5A"/>
    <w:rsid w:val="00420062"/>
    <w:rsid w:val="00420F02"/>
    <w:rsid w:val="0042646F"/>
    <w:rsid w:val="00426A19"/>
    <w:rsid w:val="00427358"/>
    <w:rsid w:val="004303AF"/>
    <w:rsid w:val="004342AD"/>
    <w:rsid w:val="00441771"/>
    <w:rsid w:val="0044390D"/>
    <w:rsid w:val="0044404A"/>
    <w:rsid w:val="004448F0"/>
    <w:rsid w:val="00445626"/>
    <w:rsid w:val="00445819"/>
    <w:rsid w:val="00450C13"/>
    <w:rsid w:val="00453545"/>
    <w:rsid w:val="00456919"/>
    <w:rsid w:val="00461DAF"/>
    <w:rsid w:val="0046236D"/>
    <w:rsid w:val="004632A4"/>
    <w:rsid w:val="004651D6"/>
    <w:rsid w:val="00466CF8"/>
    <w:rsid w:val="0047030F"/>
    <w:rsid w:val="00473049"/>
    <w:rsid w:val="004746B3"/>
    <w:rsid w:val="0048029A"/>
    <w:rsid w:val="0048125C"/>
    <w:rsid w:val="00483B38"/>
    <w:rsid w:val="00483B91"/>
    <w:rsid w:val="00484B39"/>
    <w:rsid w:val="00484F70"/>
    <w:rsid w:val="00485EBC"/>
    <w:rsid w:val="00486708"/>
    <w:rsid w:val="00487CC2"/>
    <w:rsid w:val="00491D9B"/>
    <w:rsid w:val="00493FA4"/>
    <w:rsid w:val="00494740"/>
    <w:rsid w:val="0049501C"/>
    <w:rsid w:val="00495A80"/>
    <w:rsid w:val="004A10E3"/>
    <w:rsid w:val="004A2845"/>
    <w:rsid w:val="004A43E5"/>
    <w:rsid w:val="004A4BD3"/>
    <w:rsid w:val="004A5038"/>
    <w:rsid w:val="004A6A9A"/>
    <w:rsid w:val="004A75B8"/>
    <w:rsid w:val="004B0F70"/>
    <w:rsid w:val="004B2F0D"/>
    <w:rsid w:val="004B3D91"/>
    <w:rsid w:val="004C2D30"/>
    <w:rsid w:val="004C48B6"/>
    <w:rsid w:val="004C67D0"/>
    <w:rsid w:val="004C69EA"/>
    <w:rsid w:val="004C770F"/>
    <w:rsid w:val="004C7D5A"/>
    <w:rsid w:val="004D02D2"/>
    <w:rsid w:val="004D0C89"/>
    <w:rsid w:val="004D15C5"/>
    <w:rsid w:val="004D232B"/>
    <w:rsid w:val="004D6491"/>
    <w:rsid w:val="004D7C7D"/>
    <w:rsid w:val="004E1F34"/>
    <w:rsid w:val="004E40E2"/>
    <w:rsid w:val="004E5F65"/>
    <w:rsid w:val="004E6461"/>
    <w:rsid w:val="004E7D49"/>
    <w:rsid w:val="004F5FF0"/>
    <w:rsid w:val="004F70C3"/>
    <w:rsid w:val="004F785F"/>
    <w:rsid w:val="00501732"/>
    <w:rsid w:val="00502692"/>
    <w:rsid w:val="0050326C"/>
    <w:rsid w:val="00503789"/>
    <w:rsid w:val="00504EA0"/>
    <w:rsid w:val="0050667C"/>
    <w:rsid w:val="00511288"/>
    <w:rsid w:val="0051128C"/>
    <w:rsid w:val="00513545"/>
    <w:rsid w:val="005142E0"/>
    <w:rsid w:val="0051714A"/>
    <w:rsid w:val="005171F5"/>
    <w:rsid w:val="005178FA"/>
    <w:rsid w:val="00521F2F"/>
    <w:rsid w:val="005226CF"/>
    <w:rsid w:val="00523739"/>
    <w:rsid w:val="00524796"/>
    <w:rsid w:val="00525288"/>
    <w:rsid w:val="005272D6"/>
    <w:rsid w:val="00527C92"/>
    <w:rsid w:val="005311C2"/>
    <w:rsid w:val="0053125C"/>
    <w:rsid w:val="0053165E"/>
    <w:rsid w:val="00531B88"/>
    <w:rsid w:val="0053274E"/>
    <w:rsid w:val="00543584"/>
    <w:rsid w:val="00543ADC"/>
    <w:rsid w:val="00543BFF"/>
    <w:rsid w:val="005448A2"/>
    <w:rsid w:val="00545EFD"/>
    <w:rsid w:val="00546D19"/>
    <w:rsid w:val="005472E6"/>
    <w:rsid w:val="00547CFE"/>
    <w:rsid w:val="0055010F"/>
    <w:rsid w:val="0055039C"/>
    <w:rsid w:val="00550423"/>
    <w:rsid w:val="00551160"/>
    <w:rsid w:val="0055179B"/>
    <w:rsid w:val="00551D57"/>
    <w:rsid w:val="00554D54"/>
    <w:rsid w:val="00556905"/>
    <w:rsid w:val="00561DDD"/>
    <w:rsid w:val="0057128C"/>
    <w:rsid w:val="005718E2"/>
    <w:rsid w:val="00572A89"/>
    <w:rsid w:val="005738CA"/>
    <w:rsid w:val="00574555"/>
    <w:rsid w:val="00575D22"/>
    <w:rsid w:val="00575D97"/>
    <w:rsid w:val="005763D3"/>
    <w:rsid w:val="00576CA9"/>
    <w:rsid w:val="00577552"/>
    <w:rsid w:val="00577BAD"/>
    <w:rsid w:val="00585033"/>
    <w:rsid w:val="005877C3"/>
    <w:rsid w:val="0059076E"/>
    <w:rsid w:val="00590EDE"/>
    <w:rsid w:val="00592891"/>
    <w:rsid w:val="00592FAA"/>
    <w:rsid w:val="005963EE"/>
    <w:rsid w:val="00596499"/>
    <w:rsid w:val="00596F65"/>
    <w:rsid w:val="005A02DC"/>
    <w:rsid w:val="005A0CBA"/>
    <w:rsid w:val="005A4D7E"/>
    <w:rsid w:val="005A5552"/>
    <w:rsid w:val="005A6884"/>
    <w:rsid w:val="005A6BDF"/>
    <w:rsid w:val="005A6FA8"/>
    <w:rsid w:val="005A76C7"/>
    <w:rsid w:val="005B2812"/>
    <w:rsid w:val="005B2C81"/>
    <w:rsid w:val="005B3027"/>
    <w:rsid w:val="005B3CE4"/>
    <w:rsid w:val="005B402F"/>
    <w:rsid w:val="005C24A4"/>
    <w:rsid w:val="005C3147"/>
    <w:rsid w:val="005C31C9"/>
    <w:rsid w:val="005C3FD4"/>
    <w:rsid w:val="005C4BA8"/>
    <w:rsid w:val="005C4CB8"/>
    <w:rsid w:val="005C58FC"/>
    <w:rsid w:val="005D105B"/>
    <w:rsid w:val="005D1679"/>
    <w:rsid w:val="005D1ACB"/>
    <w:rsid w:val="005D1F74"/>
    <w:rsid w:val="005D392D"/>
    <w:rsid w:val="005D3D74"/>
    <w:rsid w:val="005D482B"/>
    <w:rsid w:val="005D4DED"/>
    <w:rsid w:val="005D611B"/>
    <w:rsid w:val="005D618D"/>
    <w:rsid w:val="005E01CD"/>
    <w:rsid w:val="005E0C9E"/>
    <w:rsid w:val="005E2968"/>
    <w:rsid w:val="005E32FC"/>
    <w:rsid w:val="005E522B"/>
    <w:rsid w:val="005E522E"/>
    <w:rsid w:val="005E6D4B"/>
    <w:rsid w:val="005F068D"/>
    <w:rsid w:val="005F0A30"/>
    <w:rsid w:val="005F110A"/>
    <w:rsid w:val="005F1E26"/>
    <w:rsid w:val="005F3860"/>
    <w:rsid w:val="005F3A67"/>
    <w:rsid w:val="005F4D47"/>
    <w:rsid w:val="005F69A1"/>
    <w:rsid w:val="005F6C2C"/>
    <w:rsid w:val="006002E4"/>
    <w:rsid w:val="00601ED6"/>
    <w:rsid w:val="00602BA5"/>
    <w:rsid w:val="00606E04"/>
    <w:rsid w:val="006077AD"/>
    <w:rsid w:val="0061052D"/>
    <w:rsid w:val="00611425"/>
    <w:rsid w:val="00613362"/>
    <w:rsid w:val="00616835"/>
    <w:rsid w:val="00616935"/>
    <w:rsid w:val="00616CBB"/>
    <w:rsid w:val="00622C09"/>
    <w:rsid w:val="006233FC"/>
    <w:rsid w:val="00623A4E"/>
    <w:rsid w:val="00623EB3"/>
    <w:rsid w:val="006247C1"/>
    <w:rsid w:val="00627A07"/>
    <w:rsid w:val="006303D8"/>
    <w:rsid w:val="00630544"/>
    <w:rsid w:val="00631432"/>
    <w:rsid w:val="00636CEF"/>
    <w:rsid w:val="00641816"/>
    <w:rsid w:val="00641859"/>
    <w:rsid w:val="00642168"/>
    <w:rsid w:val="00643296"/>
    <w:rsid w:val="00645BAD"/>
    <w:rsid w:val="006461BA"/>
    <w:rsid w:val="00646259"/>
    <w:rsid w:val="006462A0"/>
    <w:rsid w:val="00650302"/>
    <w:rsid w:val="0065196E"/>
    <w:rsid w:val="0065371F"/>
    <w:rsid w:val="00655058"/>
    <w:rsid w:val="006550C3"/>
    <w:rsid w:val="006550D8"/>
    <w:rsid w:val="0065553E"/>
    <w:rsid w:val="00656016"/>
    <w:rsid w:val="0065718E"/>
    <w:rsid w:val="00657BE2"/>
    <w:rsid w:val="006600B5"/>
    <w:rsid w:val="00660FDE"/>
    <w:rsid w:val="00663543"/>
    <w:rsid w:val="00664B36"/>
    <w:rsid w:val="00664C1F"/>
    <w:rsid w:val="00665018"/>
    <w:rsid w:val="00665C72"/>
    <w:rsid w:val="00667B4D"/>
    <w:rsid w:val="00670164"/>
    <w:rsid w:val="00670B93"/>
    <w:rsid w:val="00671445"/>
    <w:rsid w:val="0067152D"/>
    <w:rsid w:val="00674006"/>
    <w:rsid w:val="006744D4"/>
    <w:rsid w:val="00674D4F"/>
    <w:rsid w:val="00675392"/>
    <w:rsid w:val="0067665D"/>
    <w:rsid w:val="00680164"/>
    <w:rsid w:val="006804BF"/>
    <w:rsid w:val="00680645"/>
    <w:rsid w:val="00680B4E"/>
    <w:rsid w:val="00681BE8"/>
    <w:rsid w:val="00683CD1"/>
    <w:rsid w:val="006857F5"/>
    <w:rsid w:val="00687FF9"/>
    <w:rsid w:val="0069159B"/>
    <w:rsid w:val="00691D77"/>
    <w:rsid w:val="00692F45"/>
    <w:rsid w:val="0069392F"/>
    <w:rsid w:val="00693C55"/>
    <w:rsid w:val="006944DE"/>
    <w:rsid w:val="00694D3E"/>
    <w:rsid w:val="00695138"/>
    <w:rsid w:val="00695480"/>
    <w:rsid w:val="006959A2"/>
    <w:rsid w:val="006972F3"/>
    <w:rsid w:val="006A412D"/>
    <w:rsid w:val="006A49A1"/>
    <w:rsid w:val="006A5F8B"/>
    <w:rsid w:val="006A68EF"/>
    <w:rsid w:val="006B0E03"/>
    <w:rsid w:val="006B1065"/>
    <w:rsid w:val="006B10A4"/>
    <w:rsid w:val="006B3357"/>
    <w:rsid w:val="006B3374"/>
    <w:rsid w:val="006B594A"/>
    <w:rsid w:val="006B61C8"/>
    <w:rsid w:val="006B635F"/>
    <w:rsid w:val="006B6E13"/>
    <w:rsid w:val="006C3F8C"/>
    <w:rsid w:val="006C6536"/>
    <w:rsid w:val="006C734F"/>
    <w:rsid w:val="006D2D38"/>
    <w:rsid w:val="006D3016"/>
    <w:rsid w:val="006D4029"/>
    <w:rsid w:val="006D455E"/>
    <w:rsid w:val="006D51BA"/>
    <w:rsid w:val="006E1F9E"/>
    <w:rsid w:val="006E3235"/>
    <w:rsid w:val="006E33C5"/>
    <w:rsid w:val="006E3859"/>
    <w:rsid w:val="006E4E1C"/>
    <w:rsid w:val="006E5655"/>
    <w:rsid w:val="006E6FEB"/>
    <w:rsid w:val="006E7493"/>
    <w:rsid w:val="006F107E"/>
    <w:rsid w:val="006F15BE"/>
    <w:rsid w:val="006F22B7"/>
    <w:rsid w:val="006F2EB9"/>
    <w:rsid w:val="006F3372"/>
    <w:rsid w:val="006F3A78"/>
    <w:rsid w:val="006F4AF4"/>
    <w:rsid w:val="006F58A3"/>
    <w:rsid w:val="006F78C9"/>
    <w:rsid w:val="00702DE1"/>
    <w:rsid w:val="007030DB"/>
    <w:rsid w:val="007073E6"/>
    <w:rsid w:val="00710245"/>
    <w:rsid w:val="007129E3"/>
    <w:rsid w:val="00712E89"/>
    <w:rsid w:val="00713E62"/>
    <w:rsid w:val="007163A3"/>
    <w:rsid w:val="00716450"/>
    <w:rsid w:val="00716A50"/>
    <w:rsid w:val="0072439F"/>
    <w:rsid w:val="00724E95"/>
    <w:rsid w:val="00725B01"/>
    <w:rsid w:val="007264F8"/>
    <w:rsid w:val="00726A49"/>
    <w:rsid w:val="00727A62"/>
    <w:rsid w:val="00727A99"/>
    <w:rsid w:val="00731C0D"/>
    <w:rsid w:val="00732D34"/>
    <w:rsid w:val="00732EF0"/>
    <w:rsid w:val="00732F47"/>
    <w:rsid w:val="00733291"/>
    <w:rsid w:val="007332EC"/>
    <w:rsid w:val="00733627"/>
    <w:rsid w:val="00733666"/>
    <w:rsid w:val="00733ADA"/>
    <w:rsid w:val="007341B1"/>
    <w:rsid w:val="00734E92"/>
    <w:rsid w:val="00735A3C"/>
    <w:rsid w:val="0073649B"/>
    <w:rsid w:val="00737324"/>
    <w:rsid w:val="007375E9"/>
    <w:rsid w:val="00741083"/>
    <w:rsid w:val="0074128A"/>
    <w:rsid w:val="007427ED"/>
    <w:rsid w:val="0074357A"/>
    <w:rsid w:val="00743D5B"/>
    <w:rsid w:val="00751DB9"/>
    <w:rsid w:val="0075278C"/>
    <w:rsid w:val="00755373"/>
    <w:rsid w:val="00757638"/>
    <w:rsid w:val="0076168F"/>
    <w:rsid w:val="00762A6C"/>
    <w:rsid w:val="00763A54"/>
    <w:rsid w:val="00764048"/>
    <w:rsid w:val="007656EB"/>
    <w:rsid w:val="00766747"/>
    <w:rsid w:val="00770061"/>
    <w:rsid w:val="007707D8"/>
    <w:rsid w:val="007709AE"/>
    <w:rsid w:val="00771BF9"/>
    <w:rsid w:val="00772699"/>
    <w:rsid w:val="00782220"/>
    <w:rsid w:val="0079084A"/>
    <w:rsid w:val="00790878"/>
    <w:rsid w:val="0079172B"/>
    <w:rsid w:val="00792023"/>
    <w:rsid w:val="00793FB5"/>
    <w:rsid w:val="0079423E"/>
    <w:rsid w:val="007945AC"/>
    <w:rsid w:val="0079627C"/>
    <w:rsid w:val="0079713C"/>
    <w:rsid w:val="00797F43"/>
    <w:rsid w:val="007A03CA"/>
    <w:rsid w:val="007B1BB9"/>
    <w:rsid w:val="007B5B5A"/>
    <w:rsid w:val="007B5E20"/>
    <w:rsid w:val="007B68F8"/>
    <w:rsid w:val="007C022E"/>
    <w:rsid w:val="007C0E43"/>
    <w:rsid w:val="007C1468"/>
    <w:rsid w:val="007C2055"/>
    <w:rsid w:val="007C2A18"/>
    <w:rsid w:val="007C617F"/>
    <w:rsid w:val="007C651B"/>
    <w:rsid w:val="007C6D93"/>
    <w:rsid w:val="007C6F5B"/>
    <w:rsid w:val="007C7EDE"/>
    <w:rsid w:val="007D0F14"/>
    <w:rsid w:val="007D356D"/>
    <w:rsid w:val="007D6E31"/>
    <w:rsid w:val="007E00F6"/>
    <w:rsid w:val="007E2837"/>
    <w:rsid w:val="007E31AC"/>
    <w:rsid w:val="007E5575"/>
    <w:rsid w:val="007E5C4C"/>
    <w:rsid w:val="007F154B"/>
    <w:rsid w:val="007F4FA3"/>
    <w:rsid w:val="007F52C3"/>
    <w:rsid w:val="007F7E3B"/>
    <w:rsid w:val="00800119"/>
    <w:rsid w:val="008006B3"/>
    <w:rsid w:val="00800910"/>
    <w:rsid w:val="00801676"/>
    <w:rsid w:val="00801743"/>
    <w:rsid w:val="008018EB"/>
    <w:rsid w:val="00803D34"/>
    <w:rsid w:val="00803F1C"/>
    <w:rsid w:val="00806661"/>
    <w:rsid w:val="008066F5"/>
    <w:rsid w:val="0080712A"/>
    <w:rsid w:val="008077FA"/>
    <w:rsid w:val="00807BC4"/>
    <w:rsid w:val="0081003D"/>
    <w:rsid w:val="00811E26"/>
    <w:rsid w:val="00812EEC"/>
    <w:rsid w:val="008137A9"/>
    <w:rsid w:val="008138F6"/>
    <w:rsid w:val="00814338"/>
    <w:rsid w:val="00814F06"/>
    <w:rsid w:val="008160B3"/>
    <w:rsid w:val="00817370"/>
    <w:rsid w:val="00820F5B"/>
    <w:rsid w:val="00820FCA"/>
    <w:rsid w:val="008210DF"/>
    <w:rsid w:val="00821808"/>
    <w:rsid w:val="00822AFD"/>
    <w:rsid w:val="00825A39"/>
    <w:rsid w:val="00826460"/>
    <w:rsid w:val="008318C6"/>
    <w:rsid w:val="00831B77"/>
    <w:rsid w:val="00832CAF"/>
    <w:rsid w:val="00833E7C"/>
    <w:rsid w:val="00835B53"/>
    <w:rsid w:val="0084006B"/>
    <w:rsid w:val="00843698"/>
    <w:rsid w:val="00844223"/>
    <w:rsid w:val="0084641F"/>
    <w:rsid w:val="00847E4B"/>
    <w:rsid w:val="00851252"/>
    <w:rsid w:val="008519FC"/>
    <w:rsid w:val="00851C12"/>
    <w:rsid w:val="00852927"/>
    <w:rsid w:val="008531ED"/>
    <w:rsid w:val="00853B60"/>
    <w:rsid w:val="00855061"/>
    <w:rsid w:val="00855A78"/>
    <w:rsid w:val="0085775E"/>
    <w:rsid w:val="00860A53"/>
    <w:rsid w:val="00863507"/>
    <w:rsid w:val="00865730"/>
    <w:rsid w:val="00866534"/>
    <w:rsid w:val="00866BA2"/>
    <w:rsid w:val="008670D4"/>
    <w:rsid w:val="00867860"/>
    <w:rsid w:val="00870E9E"/>
    <w:rsid w:val="00872DDF"/>
    <w:rsid w:val="00874369"/>
    <w:rsid w:val="00875C2A"/>
    <w:rsid w:val="00876424"/>
    <w:rsid w:val="00877CB9"/>
    <w:rsid w:val="00880169"/>
    <w:rsid w:val="00880D3B"/>
    <w:rsid w:val="00881279"/>
    <w:rsid w:val="00881C81"/>
    <w:rsid w:val="0088214D"/>
    <w:rsid w:val="00882280"/>
    <w:rsid w:val="008868A4"/>
    <w:rsid w:val="00887A71"/>
    <w:rsid w:val="00890E40"/>
    <w:rsid w:val="00892861"/>
    <w:rsid w:val="00892AAF"/>
    <w:rsid w:val="00893AF1"/>
    <w:rsid w:val="0089779F"/>
    <w:rsid w:val="008A27BC"/>
    <w:rsid w:val="008A2DF1"/>
    <w:rsid w:val="008A41B5"/>
    <w:rsid w:val="008A4784"/>
    <w:rsid w:val="008A593D"/>
    <w:rsid w:val="008A6C11"/>
    <w:rsid w:val="008B19C2"/>
    <w:rsid w:val="008B219A"/>
    <w:rsid w:val="008B28A7"/>
    <w:rsid w:val="008B3350"/>
    <w:rsid w:val="008B3C17"/>
    <w:rsid w:val="008B3FD3"/>
    <w:rsid w:val="008B4BAD"/>
    <w:rsid w:val="008B55CB"/>
    <w:rsid w:val="008B5D00"/>
    <w:rsid w:val="008B5FB8"/>
    <w:rsid w:val="008B6287"/>
    <w:rsid w:val="008C0BD7"/>
    <w:rsid w:val="008C0F75"/>
    <w:rsid w:val="008C217B"/>
    <w:rsid w:val="008C39F1"/>
    <w:rsid w:val="008C3C62"/>
    <w:rsid w:val="008C5B2B"/>
    <w:rsid w:val="008C608B"/>
    <w:rsid w:val="008C6091"/>
    <w:rsid w:val="008C62C5"/>
    <w:rsid w:val="008C7059"/>
    <w:rsid w:val="008C7177"/>
    <w:rsid w:val="008C73E4"/>
    <w:rsid w:val="008D03E5"/>
    <w:rsid w:val="008D2205"/>
    <w:rsid w:val="008D5C70"/>
    <w:rsid w:val="008D65CD"/>
    <w:rsid w:val="008D6C51"/>
    <w:rsid w:val="008D7C0D"/>
    <w:rsid w:val="008E0B66"/>
    <w:rsid w:val="008E16B4"/>
    <w:rsid w:val="008E1A6F"/>
    <w:rsid w:val="008E1E89"/>
    <w:rsid w:val="008E3795"/>
    <w:rsid w:val="008E5B8C"/>
    <w:rsid w:val="008E75BD"/>
    <w:rsid w:val="008F032D"/>
    <w:rsid w:val="008F09BA"/>
    <w:rsid w:val="008F118F"/>
    <w:rsid w:val="008F2D39"/>
    <w:rsid w:val="008F4DBE"/>
    <w:rsid w:val="008F7169"/>
    <w:rsid w:val="009016F7"/>
    <w:rsid w:val="00902993"/>
    <w:rsid w:val="00902B52"/>
    <w:rsid w:val="009057C8"/>
    <w:rsid w:val="00907CCA"/>
    <w:rsid w:val="009100C2"/>
    <w:rsid w:val="0091020F"/>
    <w:rsid w:val="009166DF"/>
    <w:rsid w:val="0091700D"/>
    <w:rsid w:val="00921938"/>
    <w:rsid w:val="00922333"/>
    <w:rsid w:val="009234DA"/>
    <w:rsid w:val="00924023"/>
    <w:rsid w:val="00924084"/>
    <w:rsid w:val="009247B2"/>
    <w:rsid w:val="00925573"/>
    <w:rsid w:val="00926509"/>
    <w:rsid w:val="00927874"/>
    <w:rsid w:val="00927FC3"/>
    <w:rsid w:val="009302FD"/>
    <w:rsid w:val="00932754"/>
    <w:rsid w:val="00932840"/>
    <w:rsid w:val="009331C8"/>
    <w:rsid w:val="009338EC"/>
    <w:rsid w:val="00933D50"/>
    <w:rsid w:val="0093430A"/>
    <w:rsid w:val="0093628A"/>
    <w:rsid w:val="00941027"/>
    <w:rsid w:val="00941799"/>
    <w:rsid w:val="00942AAA"/>
    <w:rsid w:val="00945B09"/>
    <w:rsid w:val="00945BBF"/>
    <w:rsid w:val="0094609A"/>
    <w:rsid w:val="00946851"/>
    <w:rsid w:val="00946EDE"/>
    <w:rsid w:val="00947333"/>
    <w:rsid w:val="00950880"/>
    <w:rsid w:val="00952D5C"/>
    <w:rsid w:val="00955392"/>
    <w:rsid w:val="0095598A"/>
    <w:rsid w:val="0095765D"/>
    <w:rsid w:val="00961B9C"/>
    <w:rsid w:val="009632D1"/>
    <w:rsid w:val="009633AF"/>
    <w:rsid w:val="0096398A"/>
    <w:rsid w:val="00963B4B"/>
    <w:rsid w:val="009645FD"/>
    <w:rsid w:val="0096665A"/>
    <w:rsid w:val="009675A2"/>
    <w:rsid w:val="00970458"/>
    <w:rsid w:val="00970724"/>
    <w:rsid w:val="00970E16"/>
    <w:rsid w:val="009727FD"/>
    <w:rsid w:val="00973B8D"/>
    <w:rsid w:val="00973C7C"/>
    <w:rsid w:val="00975686"/>
    <w:rsid w:val="00976BFC"/>
    <w:rsid w:val="00976C12"/>
    <w:rsid w:val="009814D6"/>
    <w:rsid w:val="009839DA"/>
    <w:rsid w:val="00986BAD"/>
    <w:rsid w:val="00986BF1"/>
    <w:rsid w:val="00986EA5"/>
    <w:rsid w:val="00990E78"/>
    <w:rsid w:val="00993BA4"/>
    <w:rsid w:val="00993E37"/>
    <w:rsid w:val="00994F14"/>
    <w:rsid w:val="00995B4C"/>
    <w:rsid w:val="00995CDD"/>
    <w:rsid w:val="009960F8"/>
    <w:rsid w:val="00996A61"/>
    <w:rsid w:val="009A24AA"/>
    <w:rsid w:val="009A2ED2"/>
    <w:rsid w:val="009A3473"/>
    <w:rsid w:val="009A36B4"/>
    <w:rsid w:val="009A4DCE"/>
    <w:rsid w:val="009A6C21"/>
    <w:rsid w:val="009A7328"/>
    <w:rsid w:val="009A7651"/>
    <w:rsid w:val="009A78AF"/>
    <w:rsid w:val="009B1470"/>
    <w:rsid w:val="009B2B73"/>
    <w:rsid w:val="009B36D4"/>
    <w:rsid w:val="009C098A"/>
    <w:rsid w:val="009C164F"/>
    <w:rsid w:val="009C2658"/>
    <w:rsid w:val="009C27C9"/>
    <w:rsid w:val="009D005A"/>
    <w:rsid w:val="009D1AD6"/>
    <w:rsid w:val="009D2410"/>
    <w:rsid w:val="009D26CE"/>
    <w:rsid w:val="009D2E5C"/>
    <w:rsid w:val="009D3761"/>
    <w:rsid w:val="009D3D4F"/>
    <w:rsid w:val="009D4F2F"/>
    <w:rsid w:val="009D519A"/>
    <w:rsid w:val="009D6AAF"/>
    <w:rsid w:val="009D7855"/>
    <w:rsid w:val="009E0031"/>
    <w:rsid w:val="009E29EC"/>
    <w:rsid w:val="009E2B50"/>
    <w:rsid w:val="009E3E0F"/>
    <w:rsid w:val="009E4EA4"/>
    <w:rsid w:val="009E5C3A"/>
    <w:rsid w:val="009E67C2"/>
    <w:rsid w:val="009E72A2"/>
    <w:rsid w:val="009F560B"/>
    <w:rsid w:val="009F5AED"/>
    <w:rsid w:val="009F5E2E"/>
    <w:rsid w:val="009F7ADC"/>
    <w:rsid w:val="00A00AAA"/>
    <w:rsid w:val="00A013F7"/>
    <w:rsid w:val="00A0256D"/>
    <w:rsid w:val="00A02EEC"/>
    <w:rsid w:val="00A0395E"/>
    <w:rsid w:val="00A03C4D"/>
    <w:rsid w:val="00A04558"/>
    <w:rsid w:val="00A07662"/>
    <w:rsid w:val="00A1097E"/>
    <w:rsid w:val="00A10D52"/>
    <w:rsid w:val="00A11BED"/>
    <w:rsid w:val="00A132E2"/>
    <w:rsid w:val="00A133E7"/>
    <w:rsid w:val="00A147DD"/>
    <w:rsid w:val="00A16263"/>
    <w:rsid w:val="00A16846"/>
    <w:rsid w:val="00A16ADF"/>
    <w:rsid w:val="00A16BA7"/>
    <w:rsid w:val="00A17372"/>
    <w:rsid w:val="00A222CB"/>
    <w:rsid w:val="00A2234A"/>
    <w:rsid w:val="00A23C09"/>
    <w:rsid w:val="00A263BE"/>
    <w:rsid w:val="00A310FC"/>
    <w:rsid w:val="00A32A7E"/>
    <w:rsid w:val="00A353A4"/>
    <w:rsid w:val="00A400FB"/>
    <w:rsid w:val="00A41795"/>
    <w:rsid w:val="00A44797"/>
    <w:rsid w:val="00A45507"/>
    <w:rsid w:val="00A466D9"/>
    <w:rsid w:val="00A46847"/>
    <w:rsid w:val="00A472D7"/>
    <w:rsid w:val="00A5089A"/>
    <w:rsid w:val="00A5225E"/>
    <w:rsid w:val="00A555CB"/>
    <w:rsid w:val="00A55755"/>
    <w:rsid w:val="00A57DD8"/>
    <w:rsid w:val="00A60812"/>
    <w:rsid w:val="00A60C35"/>
    <w:rsid w:val="00A6173D"/>
    <w:rsid w:val="00A6189F"/>
    <w:rsid w:val="00A6236A"/>
    <w:rsid w:val="00A62B7D"/>
    <w:rsid w:val="00A63105"/>
    <w:rsid w:val="00A64665"/>
    <w:rsid w:val="00A65F29"/>
    <w:rsid w:val="00A65F3F"/>
    <w:rsid w:val="00A701CA"/>
    <w:rsid w:val="00A70262"/>
    <w:rsid w:val="00A7124A"/>
    <w:rsid w:val="00A71CBA"/>
    <w:rsid w:val="00A74900"/>
    <w:rsid w:val="00A74F77"/>
    <w:rsid w:val="00A7603A"/>
    <w:rsid w:val="00A76BC2"/>
    <w:rsid w:val="00A776D1"/>
    <w:rsid w:val="00A77D4B"/>
    <w:rsid w:val="00A77DCB"/>
    <w:rsid w:val="00A803A2"/>
    <w:rsid w:val="00A807CD"/>
    <w:rsid w:val="00A80D1A"/>
    <w:rsid w:val="00A81E89"/>
    <w:rsid w:val="00A8271E"/>
    <w:rsid w:val="00A83FC8"/>
    <w:rsid w:val="00A843C4"/>
    <w:rsid w:val="00A85F3F"/>
    <w:rsid w:val="00A863C7"/>
    <w:rsid w:val="00A86597"/>
    <w:rsid w:val="00A90C06"/>
    <w:rsid w:val="00A90E61"/>
    <w:rsid w:val="00A937E6"/>
    <w:rsid w:val="00A93C34"/>
    <w:rsid w:val="00A94E9B"/>
    <w:rsid w:val="00A95CAD"/>
    <w:rsid w:val="00AA1894"/>
    <w:rsid w:val="00AA2977"/>
    <w:rsid w:val="00AA3246"/>
    <w:rsid w:val="00AA38AC"/>
    <w:rsid w:val="00AA412C"/>
    <w:rsid w:val="00AA4579"/>
    <w:rsid w:val="00AA45A1"/>
    <w:rsid w:val="00AA4A2C"/>
    <w:rsid w:val="00AA4BFE"/>
    <w:rsid w:val="00AA6111"/>
    <w:rsid w:val="00AA6E89"/>
    <w:rsid w:val="00AA7106"/>
    <w:rsid w:val="00AA73AE"/>
    <w:rsid w:val="00AA7727"/>
    <w:rsid w:val="00AB040D"/>
    <w:rsid w:val="00AB1804"/>
    <w:rsid w:val="00AB408E"/>
    <w:rsid w:val="00AB5454"/>
    <w:rsid w:val="00AB6113"/>
    <w:rsid w:val="00AB75BC"/>
    <w:rsid w:val="00AC01B7"/>
    <w:rsid w:val="00AC0C29"/>
    <w:rsid w:val="00AC2433"/>
    <w:rsid w:val="00AC3215"/>
    <w:rsid w:val="00AC396C"/>
    <w:rsid w:val="00AC417A"/>
    <w:rsid w:val="00AC4DE9"/>
    <w:rsid w:val="00AC5244"/>
    <w:rsid w:val="00AC54E6"/>
    <w:rsid w:val="00AC561E"/>
    <w:rsid w:val="00AC6E29"/>
    <w:rsid w:val="00AD22AC"/>
    <w:rsid w:val="00AD6F48"/>
    <w:rsid w:val="00AD7158"/>
    <w:rsid w:val="00AE1745"/>
    <w:rsid w:val="00AE1F6C"/>
    <w:rsid w:val="00AE3A2C"/>
    <w:rsid w:val="00AE3E14"/>
    <w:rsid w:val="00AE4C38"/>
    <w:rsid w:val="00AE739E"/>
    <w:rsid w:val="00AF0822"/>
    <w:rsid w:val="00AF13F9"/>
    <w:rsid w:val="00AF1C0E"/>
    <w:rsid w:val="00AF47D9"/>
    <w:rsid w:val="00AF4DC3"/>
    <w:rsid w:val="00AF54F9"/>
    <w:rsid w:val="00AF7F81"/>
    <w:rsid w:val="00B00A72"/>
    <w:rsid w:val="00B03749"/>
    <w:rsid w:val="00B04B45"/>
    <w:rsid w:val="00B05020"/>
    <w:rsid w:val="00B05907"/>
    <w:rsid w:val="00B05AB7"/>
    <w:rsid w:val="00B06626"/>
    <w:rsid w:val="00B12C9B"/>
    <w:rsid w:val="00B16414"/>
    <w:rsid w:val="00B170D0"/>
    <w:rsid w:val="00B17443"/>
    <w:rsid w:val="00B17548"/>
    <w:rsid w:val="00B23657"/>
    <w:rsid w:val="00B26260"/>
    <w:rsid w:val="00B31D85"/>
    <w:rsid w:val="00B32E2D"/>
    <w:rsid w:val="00B359D0"/>
    <w:rsid w:val="00B375E0"/>
    <w:rsid w:val="00B37D9C"/>
    <w:rsid w:val="00B4166A"/>
    <w:rsid w:val="00B4182A"/>
    <w:rsid w:val="00B41A64"/>
    <w:rsid w:val="00B41DA9"/>
    <w:rsid w:val="00B45361"/>
    <w:rsid w:val="00B4587A"/>
    <w:rsid w:val="00B51653"/>
    <w:rsid w:val="00B5585A"/>
    <w:rsid w:val="00B56AF3"/>
    <w:rsid w:val="00B57A0F"/>
    <w:rsid w:val="00B62E3E"/>
    <w:rsid w:val="00B63037"/>
    <w:rsid w:val="00B650D8"/>
    <w:rsid w:val="00B6667F"/>
    <w:rsid w:val="00B66A22"/>
    <w:rsid w:val="00B6732D"/>
    <w:rsid w:val="00B702B3"/>
    <w:rsid w:val="00B70941"/>
    <w:rsid w:val="00B71714"/>
    <w:rsid w:val="00B719B8"/>
    <w:rsid w:val="00B72E16"/>
    <w:rsid w:val="00B737D9"/>
    <w:rsid w:val="00B740D8"/>
    <w:rsid w:val="00B760DA"/>
    <w:rsid w:val="00B77212"/>
    <w:rsid w:val="00B77243"/>
    <w:rsid w:val="00B80CBD"/>
    <w:rsid w:val="00B84323"/>
    <w:rsid w:val="00B850E9"/>
    <w:rsid w:val="00B8638D"/>
    <w:rsid w:val="00B91043"/>
    <w:rsid w:val="00B91ACA"/>
    <w:rsid w:val="00B92255"/>
    <w:rsid w:val="00B92827"/>
    <w:rsid w:val="00B93E6F"/>
    <w:rsid w:val="00B9439E"/>
    <w:rsid w:val="00B94B9D"/>
    <w:rsid w:val="00B96DB3"/>
    <w:rsid w:val="00BA01CF"/>
    <w:rsid w:val="00BA0A83"/>
    <w:rsid w:val="00BA0DAE"/>
    <w:rsid w:val="00BA296F"/>
    <w:rsid w:val="00BA2A50"/>
    <w:rsid w:val="00BA3C38"/>
    <w:rsid w:val="00BA4231"/>
    <w:rsid w:val="00BA428F"/>
    <w:rsid w:val="00BA47C6"/>
    <w:rsid w:val="00BA5B1B"/>
    <w:rsid w:val="00BA5BD0"/>
    <w:rsid w:val="00BA64D1"/>
    <w:rsid w:val="00BB25C8"/>
    <w:rsid w:val="00BB292A"/>
    <w:rsid w:val="00BB2EB1"/>
    <w:rsid w:val="00BB515E"/>
    <w:rsid w:val="00BB5192"/>
    <w:rsid w:val="00BB5512"/>
    <w:rsid w:val="00BB5AA9"/>
    <w:rsid w:val="00BB5E25"/>
    <w:rsid w:val="00BB75D3"/>
    <w:rsid w:val="00BC0111"/>
    <w:rsid w:val="00BC30BC"/>
    <w:rsid w:val="00BC3983"/>
    <w:rsid w:val="00BC47B4"/>
    <w:rsid w:val="00BC573C"/>
    <w:rsid w:val="00BC590B"/>
    <w:rsid w:val="00BC6BD0"/>
    <w:rsid w:val="00BD0842"/>
    <w:rsid w:val="00BD43AE"/>
    <w:rsid w:val="00BD48F4"/>
    <w:rsid w:val="00BE1B85"/>
    <w:rsid w:val="00BE2ADA"/>
    <w:rsid w:val="00BE4009"/>
    <w:rsid w:val="00BE4A23"/>
    <w:rsid w:val="00BE4EDA"/>
    <w:rsid w:val="00BE5367"/>
    <w:rsid w:val="00BE6729"/>
    <w:rsid w:val="00BF0AE1"/>
    <w:rsid w:val="00BF2547"/>
    <w:rsid w:val="00BF428F"/>
    <w:rsid w:val="00BF4674"/>
    <w:rsid w:val="00BF5480"/>
    <w:rsid w:val="00C02EE3"/>
    <w:rsid w:val="00C04272"/>
    <w:rsid w:val="00C1209C"/>
    <w:rsid w:val="00C123F8"/>
    <w:rsid w:val="00C128C3"/>
    <w:rsid w:val="00C12BDD"/>
    <w:rsid w:val="00C1691C"/>
    <w:rsid w:val="00C20C06"/>
    <w:rsid w:val="00C2201A"/>
    <w:rsid w:val="00C24D23"/>
    <w:rsid w:val="00C2501A"/>
    <w:rsid w:val="00C27A25"/>
    <w:rsid w:val="00C3207C"/>
    <w:rsid w:val="00C32589"/>
    <w:rsid w:val="00C32940"/>
    <w:rsid w:val="00C32BBA"/>
    <w:rsid w:val="00C330A0"/>
    <w:rsid w:val="00C337A6"/>
    <w:rsid w:val="00C341FF"/>
    <w:rsid w:val="00C34D16"/>
    <w:rsid w:val="00C375C1"/>
    <w:rsid w:val="00C40D13"/>
    <w:rsid w:val="00C425B2"/>
    <w:rsid w:val="00C450EE"/>
    <w:rsid w:val="00C45699"/>
    <w:rsid w:val="00C47CB0"/>
    <w:rsid w:val="00C51902"/>
    <w:rsid w:val="00C51FFE"/>
    <w:rsid w:val="00C548B9"/>
    <w:rsid w:val="00C56200"/>
    <w:rsid w:val="00C56E07"/>
    <w:rsid w:val="00C575B1"/>
    <w:rsid w:val="00C610E6"/>
    <w:rsid w:val="00C61465"/>
    <w:rsid w:val="00C61DF0"/>
    <w:rsid w:val="00C62606"/>
    <w:rsid w:val="00C642AC"/>
    <w:rsid w:val="00C654FF"/>
    <w:rsid w:val="00C6571D"/>
    <w:rsid w:val="00C65A24"/>
    <w:rsid w:val="00C667F4"/>
    <w:rsid w:val="00C705A3"/>
    <w:rsid w:val="00C708BF"/>
    <w:rsid w:val="00C71353"/>
    <w:rsid w:val="00C76CF3"/>
    <w:rsid w:val="00C80D0C"/>
    <w:rsid w:val="00C80FC6"/>
    <w:rsid w:val="00C86610"/>
    <w:rsid w:val="00C870D1"/>
    <w:rsid w:val="00C90EE0"/>
    <w:rsid w:val="00C911E3"/>
    <w:rsid w:val="00C945DF"/>
    <w:rsid w:val="00C948DA"/>
    <w:rsid w:val="00C97560"/>
    <w:rsid w:val="00CA0895"/>
    <w:rsid w:val="00CA2530"/>
    <w:rsid w:val="00CA2E69"/>
    <w:rsid w:val="00CA44CE"/>
    <w:rsid w:val="00CA4FD4"/>
    <w:rsid w:val="00CA5E8C"/>
    <w:rsid w:val="00CA6199"/>
    <w:rsid w:val="00CA69EB"/>
    <w:rsid w:val="00CA6F92"/>
    <w:rsid w:val="00CA7A62"/>
    <w:rsid w:val="00CB07B1"/>
    <w:rsid w:val="00CB2950"/>
    <w:rsid w:val="00CB29C1"/>
    <w:rsid w:val="00CB495C"/>
    <w:rsid w:val="00CB5A03"/>
    <w:rsid w:val="00CB63EC"/>
    <w:rsid w:val="00CB66EB"/>
    <w:rsid w:val="00CC4B3E"/>
    <w:rsid w:val="00CC6F19"/>
    <w:rsid w:val="00CD0AAE"/>
    <w:rsid w:val="00CD1463"/>
    <w:rsid w:val="00CD1498"/>
    <w:rsid w:val="00CD1FF7"/>
    <w:rsid w:val="00CD305F"/>
    <w:rsid w:val="00CD4C45"/>
    <w:rsid w:val="00CD4F41"/>
    <w:rsid w:val="00CE0966"/>
    <w:rsid w:val="00CE3D40"/>
    <w:rsid w:val="00CF0B56"/>
    <w:rsid w:val="00CF103F"/>
    <w:rsid w:val="00CF1C19"/>
    <w:rsid w:val="00CF1CB6"/>
    <w:rsid w:val="00CF501A"/>
    <w:rsid w:val="00CF6A46"/>
    <w:rsid w:val="00CF78BE"/>
    <w:rsid w:val="00D05DE4"/>
    <w:rsid w:val="00D069EA"/>
    <w:rsid w:val="00D07B6F"/>
    <w:rsid w:val="00D1119F"/>
    <w:rsid w:val="00D11D24"/>
    <w:rsid w:val="00D11EB1"/>
    <w:rsid w:val="00D13CD9"/>
    <w:rsid w:val="00D142A3"/>
    <w:rsid w:val="00D15994"/>
    <w:rsid w:val="00D15E1B"/>
    <w:rsid w:val="00D167E4"/>
    <w:rsid w:val="00D1691E"/>
    <w:rsid w:val="00D17BDE"/>
    <w:rsid w:val="00D20AF9"/>
    <w:rsid w:val="00D20F40"/>
    <w:rsid w:val="00D24E89"/>
    <w:rsid w:val="00D25CBC"/>
    <w:rsid w:val="00D25EB1"/>
    <w:rsid w:val="00D2785E"/>
    <w:rsid w:val="00D279DE"/>
    <w:rsid w:val="00D31E14"/>
    <w:rsid w:val="00D33F68"/>
    <w:rsid w:val="00D36BEE"/>
    <w:rsid w:val="00D37033"/>
    <w:rsid w:val="00D373F0"/>
    <w:rsid w:val="00D37939"/>
    <w:rsid w:val="00D40D40"/>
    <w:rsid w:val="00D4145C"/>
    <w:rsid w:val="00D417CD"/>
    <w:rsid w:val="00D41B06"/>
    <w:rsid w:val="00D42414"/>
    <w:rsid w:val="00D43A28"/>
    <w:rsid w:val="00D43CCE"/>
    <w:rsid w:val="00D441FB"/>
    <w:rsid w:val="00D44FAF"/>
    <w:rsid w:val="00D45456"/>
    <w:rsid w:val="00D4579B"/>
    <w:rsid w:val="00D5065F"/>
    <w:rsid w:val="00D516BB"/>
    <w:rsid w:val="00D5485A"/>
    <w:rsid w:val="00D5554D"/>
    <w:rsid w:val="00D557CC"/>
    <w:rsid w:val="00D5591A"/>
    <w:rsid w:val="00D55FD5"/>
    <w:rsid w:val="00D56CC4"/>
    <w:rsid w:val="00D608A7"/>
    <w:rsid w:val="00D620C2"/>
    <w:rsid w:val="00D64C0A"/>
    <w:rsid w:val="00D64FA3"/>
    <w:rsid w:val="00D662F6"/>
    <w:rsid w:val="00D6691F"/>
    <w:rsid w:val="00D713D3"/>
    <w:rsid w:val="00D71947"/>
    <w:rsid w:val="00D73662"/>
    <w:rsid w:val="00D76B5B"/>
    <w:rsid w:val="00D76D3F"/>
    <w:rsid w:val="00D80B23"/>
    <w:rsid w:val="00D80CC2"/>
    <w:rsid w:val="00D8263D"/>
    <w:rsid w:val="00D82F21"/>
    <w:rsid w:val="00D845ED"/>
    <w:rsid w:val="00D86699"/>
    <w:rsid w:val="00D91D29"/>
    <w:rsid w:val="00D926FA"/>
    <w:rsid w:val="00D93D23"/>
    <w:rsid w:val="00D94371"/>
    <w:rsid w:val="00D94BEE"/>
    <w:rsid w:val="00D95353"/>
    <w:rsid w:val="00D95952"/>
    <w:rsid w:val="00D96793"/>
    <w:rsid w:val="00D9753F"/>
    <w:rsid w:val="00D97B84"/>
    <w:rsid w:val="00D97EB2"/>
    <w:rsid w:val="00DA0BC3"/>
    <w:rsid w:val="00DA34B0"/>
    <w:rsid w:val="00DA3B47"/>
    <w:rsid w:val="00DA3D53"/>
    <w:rsid w:val="00DA3DCF"/>
    <w:rsid w:val="00DA3F1F"/>
    <w:rsid w:val="00DA4FFB"/>
    <w:rsid w:val="00DA5C72"/>
    <w:rsid w:val="00DA61A6"/>
    <w:rsid w:val="00DB01C4"/>
    <w:rsid w:val="00DB0E94"/>
    <w:rsid w:val="00DB1AB2"/>
    <w:rsid w:val="00DB234B"/>
    <w:rsid w:val="00DB2AC1"/>
    <w:rsid w:val="00DB301B"/>
    <w:rsid w:val="00DB37F0"/>
    <w:rsid w:val="00DB7B79"/>
    <w:rsid w:val="00DC5AD8"/>
    <w:rsid w:val="00DD05EF"/>
    <w:rsid w:val="00DD1B01"/>
    <w:rsid w:val="00DD1C54"/>
    <w:rsid w:val="00DD3373"/>
    <w:rsid w:val="00DD4F99"/>
    <w:rsid w:val="00DD7F99"/>
    <w:rsid w:val="00DE22A8"/>
    <w:rsid w:val="00DE25E1"/>
    <w:rsid w:val="00DE47DB"/>
    <w:rsid w:val="00DE684D"/>
    <w:rsid w:val="00DE698B"/>
    <w:rsid w:val="00DF1742"/>
    <w:rsid w:val="00DF18F1"/>
    <w:rsid w:val="00DF3EBA"/>
    <w:rsid w:val="00DF51D6"/>
    <w:rsid w:val="00DF6101"/>
    <w:rsid w:val="00DF6EC3"/>
    <w:rsid w:val="00E00BB5"/>
    <w:rsid w:val="00E00D8B"/>
    <w:rsid w:val="00E0131F"/>
    <w:rsid w:val="00E01F69"/>
    <w:rsid w:val="00E026A4"/>
    <w:rsid w:val="00E035CA"/>
    <w:rsid w:val="00E037C3"/>
    <w:rsid w:val="00E049DB"/>
    <w:rsid w:val="00E06F31"/>
    <w:rsid w:val="00E07DD7"/>
    <w:rsid w:val="00E10F37"/>
    <w:rsid w:val="00E116C4"/>
    <w:rsid w:val="00E131D9"/>
    <w:rsid w:val="00E144A6"/>
    <w:rsid w:val="00E14576"/>
    <w:rsid w:val="00E14BDF"/>
    <w:rsid w:val="00E17578"/>
    <w:rsid w:val="00E20050"/>
    <w:rsid w:val="00E20351"/>
    <w:rsid w:val="00E2055C"/>
    <w:rsid w:val="00E20C90"/>
    <w:rsid w:val="00E24241"/>
    <w:rsid w:val="00E26831"/>
    <w:rsid w:val="00E309F3"/>
    <w:rsid w:val="00E30BCD"/>
    <w:rsid w:val="00E315E4"/>
    <w:rsid w:val="00E32D9B"/>
    <w:rsid w:val="00E32E6C"/>
    <w:rsid w:val="00E32FA4"/>
    <w:rsid w:val="00E3340E"/>
    <w:rsid w:val="00E34D2E"/>
    <w:rsid w:val="00E34E20"/>
    <w:rsid w:val="00E44320"/>
    <w:rsid w:val="00E464CE"/>
    <w:rsid w:val="00E46A3D"/>
    <w:rsid w:val="00E51A81"/>
    <w:rsid w:val="00E51C93"/>
    <w:rsid w:val="00E524FC"/>
    <w:rsid w:val="00E534CA"/>
    <w:rsid w:val="00E56B58"/>
    <w:rsid w:val="00E57E48"/>
    <w:rsid w:val="00E6024F"/>
    <w:rsid w:val="00E6074A"/>
    <w:rsid w:val="00E627E1"/>
    <w:rsid w:val="00E630DC"/>
    <w:rsid w:val="00E63418"/>
    <w:rsid w:val="00E6342C"/>
    <w:rsid w:val="00E63B74"/>
    <w:rsid w:val="00E66D09"/>
    <w:rsid w:val="00E6791D"/>
    <w:rsid w:val="00E70730"/>
    <w:rsid w:val="00E71C92"/>
    <w:rsid w:val="00E71CB1"/>
    <w:rsid w:val="00E74EA0"/>
    <w:rsid w:val="00E83A87"/>
    <w:rsid w:val="00E8473B"/>
    <w:rsid w:val="00E850A3"/>
    <w:rsid w:val="00E90627"/>
    <w:rsid w:val="00E92D5C"/>
    <w:rsid w:val="00E971EE"/>
    <w:rsid w:val="00E97C7A"/>
    <w:rsid w:val="00EA2B24"/>
    <w:rsid w:val="00EA2C65"/>
    <w:rsid w:val="00EA3246"/>
    <w:rsid w:val="00EA4145"/>
    <w:rsid w:val="00EA7E93"/>
    <w:rsid w:val="00EB0F64"/>
    <w:rsid w:val="00EB19DE"/>
    <w:rsid w:val="00EB4894"/>
    <w:rsid w:val="00EB48A1"/>
    <w:rsid w:val="00EB64C6"/>
    <w:rsid w:val="00EB7E9C"/>
    <w:rsid w:val="00EC0C29"/>
    <w:rsid w:val="00EC0DBA"/>
    <w:rsid w:val="00EC1DE9"/>
    <w:rsid w:val="00EC31E4"/>
    <w:rsid w:val="00EC54B6"/>
    <w:rsid w:val="00EC5C10"/>
    <w:rsid w:val="00EC5C54"/>
    <w:rsid w:val="00EC7201"/>
    <w:rsid w:val="00ED1218"/>
    <w:rsid w:val="00ED19E6"/>
    <w:rsid w:val="00ED2107"/>
    <w:rsid w:val="00ED5553"/>
    <w:rsid w:val="00ED63EF"/>
    <w:rsid w:val="00EE31DA"/>
    <w:rsid w:val="00EE5670"/>
    <w:rsid w:val="00EF0800"/>
    <w:rsid w:val="00EF09FD"/>
    <w:rsid w:val="00EF131E"/>
    <w:rsid w:val="00EF1D83"/>
    <w:rsid w:val="00EF4EBA"/>
    <w:rsid w:val="00EF53B5"/>
    <w:rsid w:val="00EF754B"/>
    <w:rsid w:val="00EF7D69"/>
    <w:rsid w:val="00F00184"/>
    <w:rsid w:val="00F006DC"/>
    <w:rsid w:val="00F0103D"/>
    <w:rsid w:val="00F0339C"/>
    <w:rsid w:val="00F035C3"/>
    <w:rsid w:val="00F03FCB"/>
    <w:rsid w:val="00F0489C"/>
    <w:rsid w:val="00F05FF4"/>
    <w:rsid w:val="00F06BBF"/>
    <w:rsid w:val="00F07AFE"/>
    <w:rsid w:val="00F10353"/>
    <w:rsid w:val="00F1054B"/>
    <w:rsid w:val="00F11284"/>
    <w:rsid w:val="00F129E2"/>
    <w:rsid w:val="00F16D67"/>
    <w:rsid w:val="00F17592"/>
    <w:rsid w:val="00F20875"/>
    <w:rsid w:val="00F22538"/>
    <w:rsid w:val="00F237A1"/>
    <w:rsid w:val="00F2466A"/>
    <w:rsid w:val="00F269C5"/>
    <w:rsid w:val="00F26E78"/>
    <w:rsid w:val="00F276CF"/>
    <w:rsid w:val="00F2790E"/>
    <w:rsid w:val="00F304B0"/>
    <w:rsid w:val="00F30767"/>
    <w:rsid w:val="00F30B81"/>
    <w:rsid w:val="00F31ACE"/>
    <w:rsid w:val="00F332B7"/>
    <w:rsid w:val="00F355A1"/>
    <w:rsid w:val="00F35716"/>
    <w:rsid w:val="00F357F0"/>
    <w:rsid w:val="00F35E98"/>
    <w:rsid w:val="00F35F53"/>
    <w:rsid w:val="00F369D4"/>
    <w:rsid w:val="00F37FF8"/>
    <w:rsid w:val="00F40018"/>
    <w:rsid w:val="00F40510"/>
    <w:rsid w:val="00F427B0"/>
    <w:rsid w:val="00F42FBA"/>
    <w:rsid w:val="00F467B4"/>
    <w:rsid w:val="00F46821"/>
    <w:rsid w:val="00F4723E"/>
    <w:rsid w:val="00F50F4C"/>
    <w:rsid w:val="00F5101B"/>
    <w:rsid w:val="00F52E0B"/>
    <w:rsid w:val="00F53690"/>
    <w:rsid w:val="00F53C97"/>
    <w:rsid w:val="00F549D0"/>
    <w:rsid w:val="00F5522D"/>
    <w:rsid w:val="00F55A73"/>
    <w:rsid w:val="00F572EF"/>
    <w:rsid w:val="00F57D96"/>
    <w:rsid w:val="00F614A4"/>
    <w:rsid w:val="00F617F8"/>
    <w:rsid w:val="00F65DF3"/>
    <w:rsid w:val="00F67EFA"/>
    <w:rsid w:val="00F7253D"/>
    <w:rsid w:val="00F75AF4"/>
    <w:rsid w:val="00F80433"/>
    <w:rsid w:val="00F81D02"/>
    <w:rsid w:val="00F82320"/>
    <w:rsid w:val="00F84985"/>
    <w:rsid w:val="00F84995"/>
    <w:rsid w:val="00F84D43"/>
    <w:rsid w:val="00F850F9"/>
    <w:rsid w:val="00F871C1"/>
    <w:rsid w:val="00F87DDA"/>
    <w:rsid w:val="00F914A6"/>
    <w:rsid w:val="00F9186D"/>
    <w:rsid w:val="00F9310C"/>
    <w:rsid w:val="00F9338A"/>
    <w:rsid w:val="00F93D55"/>
    <w:rsid w:val="00F93DB3"/>
    <w:rsid w:val="00F956AD"/>
    <w:rsid w:val="00F95A33"/>
    <w:rsid w:val="00F95EA3"/>
    <w:rsid w:val="00F9766A"/>
    <w:rsid w:val="00FA220C"/>
    <w:rsid w:val="00FA2A51"/>
    <w:rsid w:val="00FA32C0"/>
    <w:rsid w:val="00FA42E7"/>
    <w:rsid w:val="00FA47A4"/>
    <w:rsid w:val="00FA4ADE"/>
    <w:rsid w:val="00FA4F34"/>
    <w:rsid w:val="00FA54D8"/>
    <w:rsid w:val="00FA63E7"/>
    <w:rsid w:val="00FA7170"/>
    <w:rsid w:val="00FA7325"/>
    <w:rsid w:val="00FA7BA0"/>
    <w:rsid w:val="00FB161D"/>
    <w:rsid w:val="00FB40B1"/>
    <w:rsid w:val="00FB5810"/>
    <w:rsid w:val="00FB5FEA"/>
    <w:rsid w:val="00FB692C"/>
    <w:rsid w:val="00FC165B"/>
    <w:rsid w:val="00FC3D77"/>
    <w:rsid w:val="00FC5189"/>
    <w:rsid w:val="00FC5CFA"/>
    <w:rsid w:val="00FC6E3D"/>
    <w:rsid w:val="00FD00E3"/>
    <w:rsid w:val="00FD0370"/>
    <w:rsid w:val="00FD0C76"/>
    <w:rsid w:val="00FD2128"/>
    <w:rsid w:val="00FD2E59"/>
    <w:rsid w:val="00FD3687"/>
    <w:rsid w:val="00FD4007"/>
    <w:rsid w:val="00FD4A36"/>
    <w:rsid w:val="00FD523A"/>
    <w:rsid w:val="00FD60F6"/>
    <w:rsid w:val="00FE54E9"/>
    <w:rsid w:val="00FE5FAC"/>
    <w:rsid w:val="00FF13C2"/>
    <w:rsid w:val="00FF2D2C"/>
    <w:rsid w:val="00FF39AE"/>
    <w:rsid w:val="00FF3DB5"/>
    <w:rsid w:val="00FF6163"/>
    <w:rsid w:val="00FF6AE3"/>
    <w:rsid w:val="00FF7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28DA10"/>
  <w15:docId w15:val="{4C02EEBE-FFEE-4F33-9E9B-302595A3746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534CA"/>
    <w:pPr>
      <w:overflowPunct w:val="0"/>
      <w:autoSpaceDE w:val="0"/>
      <w:autoSpaceDN w:val="0"/>
      <w:adjustRightInd w:val="0"/>
      <w:spacing w:after="9pt"/>
      <w:textAlignment w:val="baseline"/>
    </w:pPr>
    <w:rPr>
      <w:color w:val="000000"/>
      <w:lang w:val="en-GB" w:eastAsia="ja-JP"/>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12pt" w:after="9pt"/>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9pt"/>
      <w:outlineLvl w:val="1"/>
    </w:pPr>
    <w:rPr>
      <w:sz w:val="32"/>
    </w:rPr>
  </w:style>
  <w:style w:type="paragraph" w:styleId="Heading3">
    <w:name w:val="heading 3"/>
    <w:basedOn w:val="Heading2"/>
    <w:next w:val="Normal"/>
    <w:link w:val="Heading3Char"/>
    <w:qFormat/>
    <w:pPr>
      <w:numPr>
        <w:ilvl w:val="2"/>
      </w:numPr>
      <w:spacing w:before="6pt"/>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pPr>
      <w:ind w:start="99.25pt" w:hanging="99.25pt"/>
      <w:outlineLvl w:val="9"/>
    </w:pPr>
    <w:rPr>
      <w:b/>
    </w:rPr>
  </w:style>
  <w:style w:type="paragraph" w:customStyle="1" w:styleId="ZA">
    <w:name w:val="ZA"/>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lang w:val="en-GB" w:eastAsia="ja-JP"/>
    </w:rPr>
  </w:style>
  <w:style w:type="paragraph" w:customStyle="1" w:styleId="ZB">
    <w:name w:val="ZB"/>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18pt"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12pt" w:line="12pt" w:lineRule="atLeast"/>
      <w:ind w:start="59.55pt" w:end="5.65pt" w:hanging="59.55pt"/>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eastAsia="ja-JP"/>
    </w:rPr>
  </w:style>
  <w:style w:type="paragraph" w:customStyle="1" w:styleId="ZU">
    <w:name w:val="ZU"/>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lang w:val="en-GB" w:eastAsia="ja-JP"/>
    </w:rPr>
  </w:style>
  <w:style w:type="paragraph" w:styleId="TOC1">
    <w:name w:val="toc 1"/>
    <w:semiHidden/>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lang w:val="en-GB" w:eastAsia="ja-JP"/>
    </w:rPr>
  </w:style>
  <w:style w:type="paragraph" w:styleId="TOC2">
    <w:name w:val="toc 2"/>
    <w:basedOn w:val="TOC1"/>
    <w:semiHidden/>
    <w:pPr>
      <w:keepNext w:val="0"/>
      <w:spacing w:before="0pt"/>
      <w:ind w:start="42.55pt" w:hanging="42.55pt"/>
    </w:pPr>
    <w:rPr>
      <w:sz w:val="20"/>
    </w:rPr>
  </w:style>
  <w:style w:type="paragraph" w:styleId="TOC3">
    <w:name w:val="toc 3"/>
    <w:basedOn w:val="TOC2"/>
    <w:semiHidden/>
    <w:pPr>
      <w:ind w:start="56.70pt" w:hanging="56.70pt"/>
    </w:pPr>
  </w:style>
  <w:style w:type="paragraph" w:styleId="TOC4">
    <w:name w:val="toc 4"/>
    <w:basedOn w:val="TOC3"/>
    <w:semiHidden/>
    <w:pPr>
      <w:ind w:start="70.90pt" w:hanging="70.90pt"/>
    </w:pPr>
  </w:style>
  <w:style w:type="paragraph" w:styleId="TOC5">
    <w:name w:val="toc 5"/>
    <w:basedOn w:val="TOC4"/>
    <w:semiHidden/>
    <w:pPr>
      <w:ind w:start="85.05pt" w:hanging="85.05pt"/>
    </w:pPr>
  </w:style>
  <w:style w:type="paragraph" w:styleId="TOC6">
    <w:name w:val="toc 6"/>
    <w:basedOn w:val="TOC5"/>
    <w:next w:val="Normal"/>
    <w:semiHidden/>
    <w:pPr>
      <w:ind w:start="99.25pt" w:hanging="99.25pt"/>
    </w:pPr>
  </w:style>
  <w:style w:type="paragraph" w:styleId="TOC7">
    <w:name w:val="toc 7"/>
    <w:basedOn w:val="TOC6"/>
    <w:next w:val="Normal"/>
    <w:semiHidden/>
    <w:pPr>
      <w:ind w:start="113.40pt" w:hanging="113.40pt"/>
    </w:pPr>
  </w:style>
  <w:style w:type="paragraph" w:styleId="TOC8">
    <w:name w:val="toc 8"/>
    <w:basedOn w:val="TOC1"/>
    <w:semiHidden/>
    <w:pPr>
      <w:spacing w:before="9pt"/>
      <w:ind w:start="134.65pt" w:hanging="134.65pt"/>
    </w:pPr>
    <w:rPr>
      <w:b/>
    </w:rPr>
  </w:style>
  <w:style w:type="paragraph" w:styleId="TOC9">
    <w:name w:val="toc 9"/>
    <w:basedOn w:val="TOC8"/>
    <w:semiHidden/>
    <w:pPr>
      <w:ind w:start="70.90pt" w:hanging="70.90pt"/>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pt"/>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start="56.75pt" w:hanging="42.55pt"/>
    </w:pPr>
    <w:rPr>
      <w:rFonts w:eastAsia="Times New Roman"/>
    </w:rPr>
  </w:style>
  <w:style w:type="paragraph" w:customStyle="1" w:styleId="HO">
    <w:name w:val="HO"/>
    <w:basedOn w:val="Normal"/>
    <w:pPr>
      <w:jc w:val="end"/>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start="85.10pt" w:hanging="70.90pt"/>
    </w:pPr>
    <w:rPr>
      <w:rFonts w:eastAsia="Times New Roman"/>
    </w:rPr>
  </w:style>
  <w:style w:type="paragraph" w:customStyle="1" w:styleId="FP">
    <w:name w:val="FP"/>
    <w:basedOn w:val="Normal"/>
    <w:pPr>
      <w:spacing w:after="0pt"/>
    </w:pPr>
    <w:rPr>
      <w:rFonts w:eastAsia="Times New Roman"/>
    </w:rPr>
  </w:style>
  <w:style w:type="paragraph" w:customStyle="1" w:styleId="LD">
    <w:name w:val="LD"/>
    <w:pPr>
      <w:keepNext/>
      <w:keepLines/>
      <w:overflowPunct w:val="0"/>
      <w:autoSpaceDE w:val="0"/>
      <w:autoSpaceDN w:val="0"/>
      <w:adjustRightInd w:val="0"/>
      <w:spacing w:line="9pt" w:lineRule="exact"/>
      <w:textAlignment w:val="baseline"/>
    </w:pPr>
    <w:rPr>
      <w:rFonts w:ascii="Courier New" w:hAnsi="Courier New"/>
      <w:noProof/>
      <w:lang w:val="en-GB" w:eastAsia="ja-JP"/>
    </w:rPr>
  </w:style>
  <w:style w:type="paragraph" w:customStyle="1" w:styleId="NW">
    <w:name w:val="NW"/>
    <w:basedOn w:val="NO"/>
    <w:pPr>
      <w:spacing w:after="0pt"/>
    </w:pPr>
  </w:style>
  <w:style w:type="paragraph" w:customStyle="1" w:styleId="EW">
    <w:name w:val="EW"/>
    <w:basedOn w:val="EX"/>
    <w:pPr>
      <w:spacing w:after="0pt"/>
    </w:pPr>
  </w:style>
  <w:style w:type="paragraph" w:customStyle="1" w:styleId="B2">
    <w:name w:val="B2"/>
    <w:basedOn w:val="Normal"/>
    <w:link w:val="B2Char"/>
    <w:pPr>
      <w:ind w:start="42.55pt" w:hanging="14.20pt"/>
    </w:pPr>
  </w:style>
  <w:style w:type="paragraph" w:customStyle="1" w:styleId="B1">
    <w:name w:val="B1"/>
    <w:basedOn w:val="Normal"/>
    <w:link w:val="B1Char1"/>
    <w:qFormat/>
    <w:pPr>
      <w:ind w:start="28.40pt" w:hanging="14.20pt"/>
    </w:pPr>
  </w:style>
  <w:style w:type="paragraph" w:customStyle="1" w:styleId="B3">
    <w:name w:val="B3"/>
    <w:basedOn w:val="Normal"/>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EQ">
    <w:name w:val="EQ"/>
    <w:basedOn w:val="Normal"/>
    <w:next w:val="Normal"/>
    <w:pPr>
      <w:keepLines/>
      <w:tabs>
        <w:tab w:val="center" w:pos="226.80pt"/>
        <w:tab w:val="end" w:pos="453.60pt"/>
      </w:tabs>
    </w:pPr>
    <w:rPr>
      <w:rFonts w:eastAsia="Times New Roman"/>
      <w:noProof/>
    </w:rPr>
  </w:style>
  <w:style w:type="paragraph" w:customStyle="1" w:styleId="TH">
    <w:name w:val="TH"/>
    <w:basedOn w:val="Normal"/>
    <w:link w:val="THChar"/>
    <w:pPr>
      <w:keepNext/>
      <w:keepLines/>
      <w:spacing w:before="3pt"/>
      <w:jc w:val="center"/>
    </w:pPr>
    <w:rPr>
      <w:rFonts w:ascii="Arial" w:hAnsi="Arial"/>
      <w:b/>
    </w:rPr>
  </w:style>
  <w:style w:type="paragraph" w:customStyle="1" w:styleId="TF">
    <w:name w:val="TF"/>
    <w:basedOn w:val="TH"/>
    <w:pPr>
      <w:keepNext w:val="0"/>
      <w:spacing w:before="0pt" w:after="12pt"/>
    </w:pPr>
  </w:style>
  <w:style w:type="paragraph" w:customStyle="1" w:styleId="NF">
    <w:name w:val="NF"/>
    <w:basedOn w:val="NO"/>
    <w:pPr>
      <w:keepNext/>
      <w:spacing w:after="0pt"/>
    </w:pPr>
    <w:rPr>
      <w:rFonts w:ascii="Arial" w:hAnsi="Arial"/>
      <w:sz w:val="18"/>
    </w:rPr>
  </w:style>
  <w:style w:type="paragraph" w:customStyle="1" w:styleId="PL">
    <w:name w:val="PL"/>
    <w:link w:val="PLChar"/>
    <w:qFormat/>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end"/>
    </w:pPr>
  </w:style>
  <w:style w:type="paragraph" w:customStyle="1" w:styleId="TAN">
    <w:name w:val="TAN"/>
    <w:basedOn w:val="TAL"/>
    <w:pPr>
      <w:ind w:start="42.55pt" w:hanging="42.55pt"/>
    </w:pPr>
  </w:style>
  <w:style w:type="character" w:customStyle="1" w:styleId="ZGSM">
    <w:name w:val="ZGSM"/>
  </w:style>
  <w:style w:type="paragraph" w:customStyle="1" w:styleId="AP">
    <w:name w:val="AP"/>
    <w:basedOn w:val="Normal"/>
    <w:pPr>
      <w:ind w:start="106.35pt" w:hanging="106.35pt"/>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788.20pt"/>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340.25pt"/>
      <w:widowControl w:val="0"/>
      <w:overflowPunct w:val="0"/>
      <w:autoSpaceDE w:val="0"/>
      <w:autoSpaceDN w:val="0"/>
      <w:adjustRightInd w:val="0"/>
      <w:jc w:val="end"/>
      <w:textAlignment w:val="baseline"/>
    </w:pPr>
    <w:rPr>
      <w:rFonts w:ascii="Arial" w:hAnsi="Arial"/>
      <w:noProof/>
      <w:lang w:val="en-GB" w:eastAsia="ja-JP"/>
    </w:rPr>
  </w:style>
  <w:style w:type="paragraph" w:customStyle="1" w:styleId="ZH">
    <w:name w:val="ZH"/>
    <w:pPr>
      <w:framePr w:wrap="notBeside" w:vAnchor="page" w:hAnchor="margin" w:xAlign="center" w:y="340.25pt"/>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styleId="Footer">
    <w:name w:val="footer"/>
    <w:basedOn w:val="Normal"/>
    <w:semiHidden/>
    <w:pPr>
      <w:tabs>
        <w:tab w:val="center" w:pos="207.65pt"/>
        <w:tab w:val="end" w:pos="415.30pt"/>
      </w:tabs>
    </w:pPr>
  </w:style>
  <w:style w:type="paragraph" w:styleId="Header">
    <w:name w:val="header"/>
    <w:basedOn w:val="Normal"/>
    <w:semiHidden/>
    <w:pPr>
      <w:tabs>
        <w:tab w:val="center" w:pos="207.65pt"/>
        <w:tab w:val="end" w:pos="415.30pt"/>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pt"/>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start="10pt" w:hanging="10pt"/>
    </w:pPr>
  </w:style>
  <w:style w:type="paragraph" w:styleId="IndexHeading">
    <w:name w:val="index heading"/>
    <w:basedOn w:val="Normal"/>
    <w:next w:val="Normal"/>
    <w:semiHidden/>
    <w:pPr>
      <w:pBdr>
        <w:top w:val="single" w:sz="12" w:space="0" w:color="auto"/>
      </w:pBdr>
      <w:overflowPunct/>
      <w:autoSpaceDE/>
      <w:autoSpaceDN/>
      <w:adjustRightInd/>
      <w:spacing w:before="18pt" w:after="12pt"/>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5pt" w:beforeAutospacing="1" w:after="5pt"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3pt" w:after="3pt"/>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6pt"/>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uiPriority w:val="10"/>
    <w:qFormat/>
    <w:rsid w:val="00E66D09"/>
    <w:pPr>
      <w:spacing w:after="6pt"/>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uiPriority w:val="10"/>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pt"/>
      <w:ind w:start="36pt"/>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start" w:pos="81.10pt"/>
      </w:tabs>
      <w:overflowPunct/>
      <w:autoSpaceDE/>
      <w:autoSpaceDN/>
      <w:adjustRightInd/>
      <w:spacing w:after="0pt"/>
      <w:ind w:start="81.10pt" w:hanging="18.15pt"/>
      <w:textAlignment w:val="auto"/>
    </w:pPr>
    <w:rPr>
      <w:rFonts w:ascii="Arial" w:eastAsia="MS Mincho" w:hAnsi="Arial"/>
      <w:color w:val="aut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start" w:pos="50.45pt"/>
      </w:tabs>
      <w:overflowPunct/>
      <w:autoSpaceDE/>
      <w:autoSpaceDN/>
      <w:adjustRightInd/>
      <w:spacing w:before="6pt" w:after="10pt" w:line="13.80pt"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2pt" w:after="2pt" w:line="13.80pt"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10pt" w:line="13.80pt"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start" w:pos="68.05pt"/>
      </w:tabs>
      <w:contextualSpacing/>
    </w:pPr>
  </w:style>
  <w:style w:type="paragraph" w:customStyle="1" w:styleId="NormalParagraph">
    <w:name w:val="Normal Paragraph"/>
    <w:uiPriority w:val="99"/>
    <w:qFormat/>
    <w:rsid w:val="00E6074A"/>
    <w:pPr>
      <w:spacing w:after="10pt" w:line="13.80pt"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paragraph" w:styleId="Caption">
    <w:name w:val="caption"/>
    <w:basedOn w:val="Normal"/>
    <w:next w:val="Normal"/>
    <w:unhideWhenUsed/>
    <w:qFormat/>
    <w:rsid w:val="00875C2A"/>
    <w:pPr>
      <w:overflowPunct/>
      <w:autoSpaceDE/>
      <w:autoSpaceDN/>
      <w:adjustRightInd/>
      <w:textAlignment w:val="auto"/>
    </w:pPr>
    <w:rPr>
      <w:rFonts w:eastAsia="Times New Roman"/>
      <w:b/>
      <w:bCs/>
      <w:color w:val="auto"/>
      <w:lang w:eastAsia="en-US"/>
    </w:rPr>
  </w:style>
  <w:style w:type="character" w:customStyle="1" w:styleId="PLChar">
    <w:name w:val="PL Char"/>
    <w:link w:val="PL"/>
    <w:qFormat/>
    <w:rsid w:val="001D420F"/>
    <w:rPr>
      <w:rFonts w:ascii="Courier New" w:hAnsi="Courier New"/>
      <w:noProof/>
      <w:sz w:val="16"/>
      <w:lang w:val="en-GB" w:eastAsia="ja-JP"/>
    </w:rPr>
  </w:style>
  <w:style w:type="table" w:styleId="TableGrid">
    <w:name w:val="Table Grid"/>
    <w:basedOn w:val="TableNormal"/>
    <w:uiPriority w:val="39"/>
    <w:qFormat/>
    <w:rsid w:val="00267A1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26A49"/>
    <w:rPr>
      <w:color w:val="605E5C"/>
      <w:shd w:val="clear" w:color="auto" w:fill="E1DFDD"/>
    </w:rPr>
  </w:style>
  <w:style w:type="paragraph" w:styleId="Revision">
    <w:name w:val="Revision"/>
    <w:hidden/>
    <w:uiPriority w:val="71"/>
    <w:rsid w:val="00F82320"/>
    <w:rPr>
      <w:color w:val="000000"/>
      <w:lang w:val="en-GB" w:eastAsia="ja-JP"/>
    </w:rPr>
  </w:style>
  <w:style w:type="character" w:customStyle="1" w:styleId="Style1">
    <w:name w:val="Style1"/>
    <w:uiPriority w:val="1"/>
    <w:qFormat/>
    <w:rsid w:val="0047030F"/>
    <w:rPr>
      <w:rFonts w:ascii="Calibri" w:hAnsi="Calibri" w:cs="Calibri" w:hint="default"/>
      <w:color w:val="FF0000"/>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出段落1,列表段落11,リスト段落,列表段落,列,—ñ弌"/>
    <w:basedOn w:val="Normal"/>
    <w:link w:val="ListParagraphChar"/>
    <w:uiPriority w:val="34"/>
    <w:qFormat/>
    <w:rsid w:val="001551D9"/>
    <w:pPr>
      <w:overflowPunct/>
      <w:autoSpaceDE/>
      <w:autoSpaceDN/>
      <w:adjustRightInd/>
      <w:spacing w:after="0pt"/>
      <w:ind w:start="36pt"/>
      <w:textAlignment w:val="auto"/>
    </w:pPr>
    <w:rPr>
      <w:rFonts w:ascii="Calibri" w:eastAsia="Calibri" w:hAnsi="Calibri" w:cs="Calibri"/>
      <w:color w:val="auto"/>
      <w:sz w:val="22"/>
      <w:szCs w:val="22"/>
      <w:lang w:val="en-US" w:eastAsia="en-US"/>
    </w:rPr>
  </w:style>
  <w:style w:type="character" w:customStyle="1" w:styleId="TALCar">
    <w:name w:val="TAL Car"/>
    <w:qFormat/>
    <w:rsid w:val="00BC47B4"/>
    <w:rPr>
      <w:rFonts w:ascii="Arial" w:eastAsia="Times New Roman" w:hAnsi="Arial"/>
      <w:sz w:val="18"/>
    </w:rPr>
  </w:style>
  <w:style w:type="paragraph" w:customStyle="1" w:styleId="Agreement">
    <w:name w:val="Agreement"/>
    <w:basedOn w:val="Normal"/>
    <w:next w:val="Doc-text2"/>
    <w:qFormat/>
    <w:rsid w:val="009675A2"/>
    <w:pPr>
      <w:numPr>
        <w:numId w:val="7"/>
      </w:numPr>
      <w:overflowPunct/>
      <w:autoSpaceDE/>
      <w:autoSpaceDN/>
      <w:adjustRightInd/>
      <w:spacing w:before="3pt" w:after="0pt"/>
      <w:textAlignment w:val="auto"/>
    </w:pPr>
    <w:rPr>
      <w:rFonts w:ascii="Arial" w:eastAsia="MS Mincho" w:hAnsi="Arial"/>
      <w:b/>
      <w:color w:val="auto"/>
      <w:szCs w:val="24"/>
      <w:lang w:eastAsia="en-GB"/>
    </w:rPr>
  </w:style>
  <w:style w:type="character" w:customStyle="1" w:styleId="NOChar">
    <w:name w:val="NO Char"/>
    <w:link w:val="NO"/>
    <w:locked/>
    <w:rsid w:val="000D772F"/>
    <w:rPr>
      <w:rFonts w:eastAsia="Times New Roman"/>
      <w:color w:val="000000"/>
      <w:lang w:val="en-GB" w:eastAsia="ja-JP"/>
    </w:rPr>
  </w:style>
  <w:style w:type="character" w:customStyle="1" w:styleId="B1Char1">
    <w:name w:val="B1 Char1"/>
    <w:link w:val="B1"/>
    <w:rsid w:val="00F357F0"/>
    <w:rPr>
      <w:color w:val="000000"/>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rsid w:val="006E3235"/>
    <w:rPr>
      <w:rFonts w:ascii="Calibri" w:eastAsia="Calibri" w:hAnsi="Calibri" w:cs="Calibri"/>
      <w:sz w:val="22"/>
      <w:szCs w:val="22"/>
    </w:rPr>
  </w:style>
  <w:style w:type="character" w:customStyle="1" w:styleId="Heading2Char">
    <w:name w:val="Heading 2 Char"/>
    <w:aliases w:val="H2 Char1,h2 Char"/>
    <w:link w:val="Heading2"/>
    <w:rsid w:val="006E3235"/>
    <w:rPr>
      <w:rFonts w:ascii="Arial" w:hAnsi="Arial"/>
      <w:sz w:val="32"/>
      <w:lang w:val="en-GB" w:eastAsia="ja-JP"/>
    </w:rPr>
  </w:style>
  <w:style w:type="character" w:customStyle="1" w:styleId="Heading3Char">
    <w:name w:val="Heading 3 Char"/>
    <w:link w:val="Heading3"/>
    <w:rsid w:val="006E3235"/>
    <w:rPr>
      <w:rFonts w:ascii="Arial" w:hAnsi="Arial"/>
      <w:sz w:val="28"/>
      <w:lang w:val="en-GB" w:eastAsia="ja-JP"/>
    </w:rPr>
  </w:style>
  <w:style w:type="character" w:customStyle="1" w:styleId="Heading1Char">
    <w:name w:val="Heading 1 Char"/>
    <w:link w:val="Heading1"/>
    <w:rsid w:val="006E3235"/>
    <w:rPr>
      <w:rFonts w:ascii="Arial" w:hAnsi="Arial"/>
      <w:sz w:val="36"/>
      <w:lang w:val="en-GB" w:eastAsia="ja-JP"/>
    </w:rPr>
  </w:style>
  <w:style w:type="character" w:customStyle="1" w:styleId="CommentTextChar">
    <w:name w:val="Comment Text Char"/>
    <w:link w:val="CommentText"/>
    <w:semiHidden/>
    <w:rsid w:val="00336111"/>
    <w:rPr>
      <w:color w:val="000000"/>
      <w:lang w:val="en-GB" w:eastAsia="ja-JP"/>
    </w:rPr>
  </w:style>
  <w:style w:type="paragraph" w:customStyle="1" w:styleId="Proposal">
    <w:name w:val="Proposal"/>
    <w:basedOn w:val="BodyText"/>
    <w:rsid w:val="009F7ADC"/>
    <w:pPr>
      <w:numPr>
        <w:numId w:val="10"/>
      </w:numPr>
      <w:tabs>
        <w:tab w:val="clear" w:pos="65.20pt"/>
        <w:tab w:val="num" w:pos="18pt"/>
        <w:tab w:val="start" w:pos="85.05pt"/>
      </w:tabs>
      <w:ind w:start="0pt" w:firstLine="0pt"/>
      <w:jc w:val="both"/>
    </w:pPr>
    <w:rPr>
      <w:rFonts w:ascii="Arial" w:hAnsi="Arial"/>
      <w:b/>
      <w:bCs/>
      <w:color w:val="auto"/>
      <w:lang w:eastAsia="zh-CN"/>
    </w:rPr>
  </w:style>
  <w:style w:type="paragraph" w:customStyle="1" w:styleId="Source">
    <w:name w:val="Source"/>
    <w:basedOn w:val="Normal"/>
    <w:rsid w:val="003E78E0"/>
    <w:pPr>
      <w:overflowPunct/>
      <w:autoSpaceDE/>
      <w:autoSpaceDN/>
      <w:adjustRightInd/>
      <w:spacing w:after="3pt"/>
      <w:ind w:start="99.25pt" w:hanging="99.25pt"/>
      <w:textAlignment w:val="auto"/>
    </w:pPr>
    <w:rPr>
      <w:rFonts w:ascii="Arial" w:eastAsia="PMingLiU" w:hAnsi="Arial" w:cs="Arial"/>
      <w:b/>
      <w:color w:val="auto"/>
      <w:lang w:eastAsia="en-US"/>
    </w:rPr>
  </w:style>
  <w:style w:type="paragraph" w:customStyle="1" w:styleId="Contact">
    <w:name w:val="Contact"/>
    <w:basedOn w:val="Heading4"/>
    <w:rsid w:val="003E78E0"/>
    <w:pPr>
      <w:keepLines w:val="0"/>
      <w:numPr>
        <w:ilvl w:val="0"/>
        <w:numId w:val="0"/>
      </w:numPr>
      <w:tabs>
        <w:tab w:val="start" w:pos="113.40pt"/>
        <w:tab w:val="start" w:pos="134.70pt"/>
      </w:tabs>
      <w:overflowPunct/>
      <w:autoSpaceDE/>
      <w:autoSpaceDN/>
      <w:adjustRightInd/>
      <w:spacing w:before="0pt" w:after="0pt"/>
      <w:ind w:start="28.35pt"/>
      <w:textAlignment w:val="auto"/>
    </w:pPr>
    <w:rPr>
      <w:rFonts w:eastAsia="PMingLiU" w:cs="Arial"/>
      <w:b/>
      <w:sz w:val="20"/>
      <w:lang w:eastAsia="en-US"/>
    </w:rPr>
  </w:style>
  <w:style w:type="paragraph" w:customStyle="1" w:styleId="CRCoverPage">
    <w:name w:val="CR Cover Page"/>
    <w:link w:val="CRCoverPageZchn"/>
    <w:rsid w:val="003C150E"/>
    <w:pPr>
      <w:spacing w:after="6pt"/>
    </w:pPr>
    <w:rPr>
      <w:rFonts w:ascii="Arial" w:eastAsia="MS Mincho" w:hAnsi="Arial"/>
      <w:lang w:val="en-GB"/>
    </w:rPr>
  </w:style>
  <w:style w:type="character" w:customStyle="1" w:styleId="CRCoverPageZchn">
    <w:name w:val="CR Cover Page Zchn"/>
    <w:link w:val="CRCoverPage"/>
    <w:rsid w:val="003C150E"/>
    <w:rPr>
      <w:rFonts w:ascii="Arial" w:eastAsia="MS Mincho" w:hAnsi="Arial"/>
      <w:lang w:val="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916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7326527">
          <w:marLeft w:val="58.30pt"/>
          <w:marRight w:val="0pt"/>
          <w:marTop w:val="4.30pt"/>
          <w:marBottom w:val="0pt"/>
          <w:divBdr>
            <w:top w:val="none" w:sz="0" w:space="0" w:color="auto"/>
            <w:left w:val="none" w:sz="0" w:space="0" w:color="auto"/>
            <w:bottom w:val="none" w:sz="0" w:space="0" w:color="auto"/>
            <w:right w:val="none" w:sz="0" w:space="0" w:color="auto"/>
          </w:divBdr>
        </w:div>
        <w:div w:id="498884054">
          <w:marLeft w:val="58.30pt"/>
          <w:marRight w:val="0pt"/>
          <w:marTop w:val="4.30pt"/>
          <w:marBottom w:val="0pt"/>
          <w:divBdr>
            <w:top w:val="none" w:sz="0" w:space="0" w:color="auto"/>
            <w:left w:val="none" w:sz="0" w:space="0" w:color="auto"/>
            <w:bottom w:val="none" w:sz="0" w:space="0" w:color="auto"/>
            <w:right w:val="none" w:sz="0" w:space="0" w:color="auto"/>
          </w:divBdr>
        </w:div>
        <w:div w:id="625620409">
          <w:marLeft w:val="58.30pt"/>
          <w:marRight w:val="0pt"/>
          <w:marTop w:val="4.30pt"/>
          <w:marBottom w:val="0pt"/>
          <w:divBdr>
            <w:top w:val="none" w:sz="0" w:space="0" w:color="auto"/>
            <w:left w:val="none" w:sz="0" w:space="0" w:color="auto"/>
            <w:bottom w:val="none" w:sz="0" w:space="0" w:color="auto"/>
            <w:right w:val="none" w:sz="0" w:space="0" w:color="auto"/>
          </w:divBdr>
        </w:div>
        <w:div w:id="627855159">
          <w:marLeft w:val="58.30pt"/>
          <w:marRight w:val="0pt"/>
          <w:marTop w:val="4.30pt"/>
          <w:marBottom w:val="0pt"/>
          <w:divBdr>
            <w:top w:val="none" w:sz="0" w:space="0" w:color="auto"/>
            <w:left w:val="none" w:sz="0" w:space="0" w:color="auto"/>
            <w:bottom w:val="none" w:sz="0" w:space="0" w:color="auto"/>
            <w:right w:val="none" w:sz="0" w:space="0" w:color="auto"/>
          </w:divBdr>
        </w:div>
        <w:div w:id="868223002">
          <w:marLeft w:val="27.35pt"/>
          <w:marRight w:val="0pt"/>
          <w:marTop w:val="4.80pt"/>
          <w:marBottom w:val="0pt"/>
          <w:divBdr>
            <w:top w:val="none" w:sz="0" w:space="0" w:color="auto"/>
            <w:left w:val="none" w:sz="0" w:space="0" w:color="auto"/>
            <w:bottom w:val="none" w:sz="0" w:space="0" w:color="auto"/>
            <w:right w:val="none" w:sz="0" w:space="0" w:color="auto"/>
          </w:divBdr>
        </w:div>
        <w:div w:id="1029840714">
          <w:marLeft w:val="58.30pt"/>
          <w:marRight w:val="0pt"/>
          <w:marTop w:val="4.30pt"/>
          <w:marBottom w:val="0pt"/>
          <w:divBdr>
            <w:top w:val="none" w:sz="0" w:space="0" w:color="auto"/>
            <w:left w:val="none" w:sz="0" w:space="0" w:color="auto"/>
            <w:bottom w:val="none" w:sz="0" w:space="0" w:color="auto"/>
            <w:right w:val="none" w:sz="0" w:space="0" w:color="auto"/>
          </w:divBdr>
        </w:div>
        <w:div w:id="1469857029">
          <w:marLeft w:val="58.30pt"/>
          <w:marRight w:val="0pt"/>
          <w:marTop w:val="4.30pt"/>
          <w:marBottom w:val="0pt"/>
          <w:divBdr>
            <w:top w:val="none" w:sz="0" w:space="0" w:color="auto"/>
            <w:left w:val="none" w:sz="0" w:space="0" w:color="auto"/>
            <w:bottom w:val="none" w:sz="0" w:space="0" w:color="auto"/>
            <w:right w:val="none" w:sz="0" w:space="0" w:color="auto"/>
          </w:divBdr>
        </w:div>
        <w:div w:id="1706373258">
          <w:marLeft w:val="58.30pt"/>
          <w:marRight w:val="0pt"/>
          <w:marTop w:val="4.30pt"/>
          <w:marBottom w:val="0pt"/>
          <w:divBdr>
            <w:top w:val="none" w:sz="0" w:space="0" w:color="auto"/>
            <w:left w:val="none" w:sz="0" w:space="0" w:color="auto"/>
            <w:bottom w:val="none" w:sz="0" w:space="0" w:color="auto"/>
            <w:right w:val="none" w:sz="0" w:space="0" w:color="auto"/>
          </w:divBdr>
        </w:div>
        <w:div w:id="1706757148">
          <w:marLeft w:val="27.35pt"/>
          <w:marRight w:val="0pt"/>
          <w:marTop w:val="4.80pt"/>
          <w:marBottom w:val="0pt"/>
          <w:divBdr>
            <w:top w:val="none" w:sz="0" w:space="0" w:color="auto"/>
            <w:left w:val="none" w:sz="0" w:space="0" w:color="auto"/>
            <w:bottom w:val="none" w:sz="0" w:space="0" w:color="auto"/>
            <w:right w:val="none" w:sz="0" w:space="0" w:color="auto"/>
          </w:divBdr>
        </w:div>
        <w:div w:id="1718898647">
          <w:marLeft w:val="58.30pt"/>
          <w:marRight w:val="0pt"/>
          <w:marTop w:val="4.30pt"/>
          <w:marBottom w:val="0pt"/>
          <w:divBdr>
            <w:top w:val="none" w:sz="0" w:space="0" w:color="auto"/>
            <w:left w:val="none" w:sz="0" w:space="0" w:color="auto"/>
            <w:bottom w:val="none" w:sz="0" w:space="0" w:color="auto"/>
            <w:right w:val="none" w:sz="0" w:space="0" w:color="auto"/>
          </w:divBdr>
        </w:div>
        <w:div w:id="1918395119">
          <w:marLeft w:val="58.30pt"/>
          <w:marRight w:val="0pt"/>
          <w:marTop w:val="4.30pt"/>
          <w:marBottom w:val="0pt"/>
          <w:divBdr>
            <w:top w:val="none" w:sz="0" w:space="0" w:color="auto"/>
            <w:left w:val="none" w:sz="0" w:space="0" w:color="auto"/>
            <w:bottom w:val="none" w:sz="0" w:space="0" w:color="auto"/>
            <w:right w:val="none" w:sz="0" w:space="0" w:color="auto"/>
          </w:divBdr>
        </w:div>
        <w:div w:id="2011134842">
          <w:marLeft w:val="27.35pt"/>
          <w:marRight w:val="0pt"/>
          <w:marTop w:val="4.80pt"/>
          <w:marBottom w:val="0pt"/>
          <w:divBdr>
            <w:top w:val="none" w:sz="0" w:space="0" w:color="auto"/>
            <w:left w:val="none" w:sz="0" w:space="0" w:color="auto"/>
            <w:bottom w:val="none" w:sz="0" w:space="0" w:color="auto"/>
            <w:right w:val="none" w:sz="0" w:space="0" w:color="auto"/>
          </w:divBdr>
        </w:div>
      </w:divsChild>
    </w:div>
    <w:div w:id="125241724">
      <w:bodyDiv w:val="1"/>
      <w:marLeft w:val="0pt"/>
      <w:marRight w:val="0pt"/>
      <w:marTop w:val="0pt"/>
      <w:marBottom w:val="0pt"/>
      <w:divBdr>
        <w:top w:val="none" w:sz="0" w:space="0" w:color="auto"/>
        <w:left w:val="none" w:sz="0" w:space="0" w:color="auto"/>
        <w:bottom w:val="none" w:sz="0" w:space="0" w:color="auto"/>
        <w:right w:val="none" w:sz="0" w:space="0" w:color="auto"/>
      </w:divBdr>
    </w:div>
    <w:div w:id="1373779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72571302">
          <w:marLeft w:val="10.80pt"/>
          <w:marRight w:val="0pt"/>
          <w:marTop w:val="12pt"/>
          <w:marBottom w:val="0pt"/>
          <w:divBdr>
            <w:top w:val="none" w:sz="0" w:space="0" w:color="auto"/>
            <w:left w:val="none" w:sz="0" w:space="0" w:color="auto"/>
            <w:bottom w:val="none" w:sz="0" w:space="0" w:color="auto"/>
            <w:right w:val="none" w:sz="0" w:space="0" w:color="auto"/>
          </w:divBdr>
        </w:div>
      </w:divsChild>
    </w:div>
    <w:div w:id="182984761">
      <w:bodyDiv w:val="1"/>
      <w:marLeft w:val="0pt"/>
      <w:marRight w:val="0pt"/>
      <w:marTop w:val="0pt"/>
      <w:marBottom w:val="0pt"/>
      <w:divBdr>
        <w:top w:val="none" w:sz="0" w:space="0" w:color="auto"/>
        <w:left w:val="none" w:sz="0" w:space="0" w:color="auto"/>
        <w:bottom w:val="none" w:sz="0" w:space="0" w:color="auto"/>
        <w:right w:val="none" w:sz="0" w:space="0" w:color="auto"/>
      </w:divBdr>
    </w:div>
    <w:div w:id="207764693">
      <w:bodyDiv w:val="1"/>
      <w:marLeft w:val="0pt"/>
      <w:marRight w:val="0pt"/>
      <w:marTop w:val="0pt"/>
      <w:marBottom w:val="0pt"/>
      <w:divBdr>
        <w:top w:val="none" w:sz="0" w:space="0" w:color="auto"/>
        <w:left w:val="none" w:sz="0" w:space="0" w:color="auto"/>
        <w:bottom w:val="none" w:sz="0" w:space="0" w:color="auto"/>
        <w:right w:val="none" w:sz="0" w:space="0" w:color="auto"/>
      </w:divBdr>
    </w:div>
    <w:div w:id="244729225">
      <w:bodyDiv w:val="1"/>
      <w:marLeft w:val="0pt"/>
      <w:marRight w:val="0pt"/>
      <w:marTop w:val="0pt"/>
      <w:marBottom w:val="0pt"/>
      <w:divBdr>
        <w:top w:val="none" w:sz="0" w:space="0" w:color="auto"/>
        <w:left w:val="none" w:sz="0" w:space="0" w:color="auto"/>
        <w:bottom w:val="none" w:sz="0" w:space="0" w:color="auto"/>
        <w:right w:val="none" w:sz="0" w:space="0" w:color="auto"/>
      </w:divBdr>
    </w:div>
    <w:div w:id="246235906">
      <w:bodyDiv w:val="1"/>
      <w:marLeft w:val="0pt"/>
      <w:marRight w:val="0pt"/>
      <w:marTop w:val="0pt"/>
      <w:marBottom w:val="0pt"/>
      <w:divBdr>
        <w:top w:val="none" w:sz="0" w:space="0" w:color="auto"/>
        <w:left w:val="none" w:sz="0" w:space="0" w:color="auto"/>
        <w:bottom w:val="none" w:sz="0" w:space="0" w:color="auto"/>
        <w:right w:val="none" w:sz="0" w:space="0" w:color="auto"/>
      </w:divBdr>
    </w:div>
    <w:div w:id="246620700">
      <w:bodyDiv w:val="1"/>
      <w:marLeft w:val="0pt"/>
      <w:marRight w:val="0pt"/>
      <w:marTop w:val="0pt"/>
      <w:marBottom w:val="0pt"/>
      <w:divBdr>
        <w:top w:val="none" w:sz="0" w:space="0" w:color="auto"/>
        <w:left w:val="none" w:sz="0" w:space="0" w:color="auto"/>
        <w:bottom w:val="none" w:sz="0" w:space="0" w:color="auto"/>
        <w:right w:val="none" w:sz="0" w:space="0" w:color="auto"/>
      </w:divBdr>
    </w:div>
    <w:div w:id="274481020">
      <w:bodyDiv w:val="1"/>
      <w:marLeft w:val="0pt"/>
      <w:marRight w:val="0pt"/>
      <w:marTop w:val="0pt"/>
      <w:marBottom w:val="0pt"/>
      <w:divBdr>
        <w:top w:val="none" w:sz="0" w:space="0" w:color="auto"/>
        <w:left w:val="none" w:sz="0" w:space="0" w:color="auto"/>
        <w:bottom w:val="none" w:sz="0" w:space="0" w:color="auto"/>
        <w:right w:val="none" w:sz="0" w:space="0" w:color="auto"/>
      </w:divBdr>
    </w:div>
    <w:div w:id="368069181">
      <w:bodyDiv w:val="1"/>
      <w:marLeft w:val="0pt"/>
      <w:marRight w:val="0pt"/>
      <w:marTop w:val="0pt"/>
      <w:marBottom w:val="0pt"/>
      <w:divBdr>
        <w:top w:val="none" w:sz="0" w:space="0" w:color="auto"/>
        <w:left w:val="none" w:sz="0" w:space="0" w:color="auto"/>
        <w:bottom w:val="none" w:sz="0" w:space="0" w:color="auto"/>
        <w:right w:val="none" w:sz="0" w:space="0" w:color="auto"/>
      </w:divBdr>
    </w:div>
    <w:div w:id="380517031">
      <w:bodyDiv w:val="1"/>
      <w:marLeft w:val="0pt"/>
      <w:marRight w:val="0pt"/>
      <w:marTop w:val="0pt"/>
      <w:marBottom w:val="0pt"/>
      <w:divBdr>
        <w:top w:val="none" w:sz="0" w:space="0" w:color="auto"/>
        <w:left w:val="none" w:sz="0" w:space="0" w:color="auto"/>
        <w:bottom w:val="none" w:sz="0" w:space="0" w:color="auto"/>
        <w:right w:val="none" w:sz="0" w:space="0" w:color="auto"/>
      </w:divBdr>
    </w:div>
    <w:div w:id="420105433">
      <w:bodyDiv w:val="1"/>
      <w:marLeft w:val="0pt"/>
      <w:marRight w:val="0pt"/>
      <w:marTop w:val="0pt"/>
      <w:marBottom w:val="0pt"/>
      <w:divBdr>
        <w:top w:val="none" w:sz="0" w:space="0" w:color="auto"/>
        <w:left w:val="none" w:sz="0" w:space="0" w:color="auto"/>
        <w:bottom w:val="none" w:sz="0" w:space="0" w:color="auto"/>
        <w:right w:val="none" w:sz="0" w:space="0" w:color="auto"/>
      </w:divBdr>
    </w:div>
    <w:div w:id="462579273">
      <w:bodyDiv w:val="1"/>
      <w:marLeft w:val="0pt"/>
      <w:marRight w:val="0pt"/>
      <w:marTop w:val="0pt"/>
      <w:marBottom w:val="0pt"/>
      <w:divBdr>
        <w:top w:val="none" w:sz="0" w:space="0" w:color="auto"/>
        <w:left w:val="none" w:sz="0" w:space="0" w:color="auto"/>
        <w:bottom w:val="none" w:sz="0" w:space="0" w:color="auto"/>
        <w:right w:val="none" w:sz="0" w:space="0" w:color="auto"/>
      </w:divBdr>
    </w:div>
    <w:div w:id="470169978">
      <w:bodyDiv w:val="1"/>
      <w:marLeft w:val="0pt"/>
      <w:marRight w:val="0pt"/>
      <w:marTop w:val="0pt"/>
      <w:marBottom w:val="0pt"/>
      <w:divBdr>
        <w:top w:val="none" w:sz="0" w:space="0" w:color="auto"/>
        <w:left w:val="none" w:sz="0" w:space="0" w:color="auto"/>
        <w:bottom w:val="none" w:sz="0" w:space="0" w:color="auto"/>
        <w:right w:val="none" w:sz="0" w:space="0" w:color="auto"/>
      </w:divBdr>
    </w:div>
    <w:div w:id="5662315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898295">
          <w:marLeft w:val="10.80pt"/>
          <w:marRight w:val="0pt"/>
          <w:marTop w:val="12pt"/>
          <w:marBottom w:val="0pt"/>
          <w:divBdr>
            <w:top w:val="none" w:sz="0" w:space="0" w:color="auto"/>
            <w:left w:val="none" w:sz="0" w:space="0" w:color="auto"/>
            <w:bottom w:val="none" w:sz="0" w:space="0" w:color="auto"/>
            <w:right w:val="none" w:sz="0" w:space="0" w:color="auto"/>
          </w:divBdr>
        </w:div>
      </w:divsChild>
    </w:div>
    <w:div w:id="573899143">
      <w:bodyDiv w:val="1"/>
      <w:marLeft w:val="0pt"/>
      <w:marRight w:val="0pt"/>
      <w:marTop w:val="0pt"/>
      <w:marBottom w:val="0pt"/>
      <w:divBdr>
        <w:top w:val="none" w:sz="0" w:space="0" w:color="auto"/>
        <w:left w:val="none" w:sz="0" w:space="0" w:color="auto"/>
        <w:bottom w:val="none" w:sz="0" w:space="0" w:color="auto"/>
        <w:right w:val="none" w:sz="0" w:space="0" w:color="auto"/>
      </w:divBdr>
    </w:div>
    <w:div w:id="676034249">
      <w:bodyDiv w:val="1"/>
      <w:marLeft w:val="0pt"/>
      <w:marRight w:val="0pt"/>
      <w:marTop w:val="0pt"/>
      <w:marBottom w:val="0pt"/>
      <w:divBdr>
        <w:top w:val="none" w:sz="0" w:space="0" w:color="auto"/>
        <w:left w:val="none" w:sz="0" w:space="0" w:color="auto"/>
        <w:bottom w:val="none" w:sz="0" w:space="0" w:color="auto"/>
        <w:right w:val="none" w:sz="0" w:space="0" w:color="auto"/>
      </w:divBdr>
    </w:div>
    <w:div w:id="743140151">
      <w:bodyDiv w:val="1"/>
      <w:marLeft w:val="0pt"/>
      <w:marRight w:val="0pt"/>
      <w:marTop w:val="0pt"/>
      <w:marBottom w:val="0pt"/>
      <w:divBdr>
        <w:top w:val="none" w:sz="0" w:space="0" w:color="auto"/>
        <w:left w:val="none" w:sz="0" w:space="0" w:color="auto"/>
        <w:bottom w:val="none" w:sz="0" w:space="0" w:color="auto"/>
        <w:right w:val="none" w:sz="0" w:space="0" w:color="auto"/>
      </w:divBdr>
    </w:div>
    <w:div w:id="794250670">
      <w:bodyDiv w:val="1"/>
      <w:marLeft w:val="0pt"/>
      <w:marRight w:val="0pt"/>
      <w:marTop w:val="0pt"/>
      <w:marBottom w:val="0pt"/>
      <w:divBdr>
        <w:top w:val="none" w:sz="0" w:space="0" w:color="auto"/>
        <w:left w:val="none" w:sz="0" w:space="0" w:color="auto"/>
        <w:bottom w:val="none" w:sz="0" w:space="0" w:color="auto"/>
        <w:right w:val="none" w:sz="0" w:space="0" w:color="auto"/>
      </w:divBdr>
    </w:div>
    <w:div w:id="856386314">
      <w:bodyDiv w:val="1"/>
      <w:marLeft w:val="0pt"/>
      <w:marRight w:val="0pt"/>
      <w:marTop w:val="0pt"/>
      <w:marBottom w:val="0pt"/>
      <w:divBdr>
        <w:top w:val="none" w:sz="0" w:space="0" w:color="auto"/>
        <w:left w:val="none" w:sz="0" w:space="0" w:color="auto"/>
        <w:bottom w:val="none" w:sz="0" w:space="0" w:color="auto"/>
        <w:right w:val="none" w:sz="0" w:space="0" w:color="auto"/>
      </w:divBdr>
    </w:div>
    <w:div w:id="889920203">
      <w:bodyDiv w:val="1"/>
      <w:marLeft w:val="0pt"/>
      <w:marRight w:val="0pt"/>
      <w:marTop w:val="0pt"/>
      <w:marBottom w:val="0pt"/>
      <w:divBdr>
        <w:top w:val="none" w:sz="0" w:space="0" w:color="auto"/>
        <w:left w:val="none" w:sz="0" w:space="0" w:color="auto"/>
        <w:bottom w:val="none" w:sz="0" w:space="0" w:color="auto"/>
        <w:right w:val="none" w:sz="0" w:space="0" w:color="auto"/>
      </w:divBdr>
    </w:div>
    <w:div w:id="937641512">
      <w:bodyDiv w:val="1"/>
      <w:marLeft w:val="0pt"/>
      <w:marRight w:val="0pt"/>
      <w:marTop w:val="0pt"/>
      <w:marBottom w:val="0pt"/>
      <w:divBdr>
        <w:top w:val="none" w:sz="0" w:space="0" w:color="auto"/>
        <w:left w:val="none" w:sz="0" w:space="0" w:color="auto"/>
        <w:bottom w:val="none" w:sz="0" w:space="0" w:color="auto"/>
        <w:right w:val="none" w:sz="0" w:space="0" w:color="auto"/>
      </w:divBdr>
    </w:div>
    <w:div w:id="941717851">
      <w:bodyDiv w:val="1"/>
      <w:marLeft w:val="0pt"/>
      <w:marRight w:val="0pt"/>
      <w:marTop w:val="0pt"/>
      <w:marBottom w:val="0pt"/>
      <w:divBdr>
        <w:top w:val="none" w:sz="0" w:space="0" w:color="auto"/>
        <w:left w:val="none" w:sz="0" w:space="0" w:color="auto"/>
        <w:bottom w:val="none" w:sz="0" w:space="0" w:color="auto"/>
        <w:right w:val="none" w:sz="0" w:space="0" w:color="auto"/>
      </w:divBdr>
    </w:div>
    <w:div w:id="965351054">
      <w:bodyDiv w:val="1"/>
      <w:marLeft w:val="0pt"/>
      <w:marRight w:val="0pt"/>
      <w:marTop w:val="0pt"/>
      <w:marBottom w:val="0pt"/>
      <w:divBdr>
        <w:top w:val="none" w:sz="0" w:space="0" w:color="auto"/>
        <w:left w:val="none" w:sz="0" w:space="0" w:color="auto"/>
        <w:bottom w:val="none" w:sz="0" w:space="0" w:color="auto"/>
        <w:right w:val="none" w:sz="0" w:space="0" w:color="auto"/>
      </w:divBdr>
    </w:div>
    <w:div w:id="974529369">
      <w:bodyDiv w:val="1"/>
      <w:marLeft w:val="0pt"/>
      <w:marRight w:val="0pt"/>
      <w:marTop w:val="0pt"/>
      <w:marBottom w:val="0pt"/>
      <w:divBdr>
        <w:top w:val="none" w:sz="0" w:space="0" w:color="auto"/>
        <w:left w:val="none" w:sz="0" w:space="0" w:color="auto"/>
        <w:bottom w:val="none" w:sz="0" w:space="0" w:color="auto"/>
        <w:right w:val="none" w:sz="0" w:space="0" w:color="auto"/>
      </w:divBdr>
    </w:div>
    <w:div w:id="1009329858">
      <w:bodyDiv w:val="1"/>
      <w:marLeft w:val="0pt"/>
      <w:marRight w:val="0pt"/>
      <w:marTop w:val="0pt"/>
      <w:marBottom w:val="0pt"/>
      <w:divBdr>
        <w:top w:val="none" w:sz="0" w:space="0" w:color="auto"/>
        <w:left w:val="none" w:sz="0" w:space="0" w:color="auto"/>
        <w:bottom w:val="none" w:sz="0" w:space="0" w:color="auto"/>
        <w:right w:val="none" w:sz="0" w:space="0" w:color="auto"/>
      </w:divBdr>
    </w:div>
    <w:div w:id="1027294657">
      <w:bodyDiv w:val="1"/>
      <w:marLeft w:val="0pt"/>
      <w:marRight w:val="0pt"/>
      <w:marTop w:val="0pt"/>
      <w:marBottom w:val="0pt"/>
      <w:divBdr>
        <w:top w:val="none" w:sz="0" w:space="0" w:color="auto"/>
        <w:left w:val="none" w:sz="0" w:space="0" w:color="auto"/>
        <w:bottom w:val="none" w:sz="0" w:space="0" w:color="auto"/>
        <w:right w:val="none" w:sz="0" w:space="0" w:color="auto"/>
      </w:divBdr>
    </w:div>
    <w:div w:id="1031996724">
      <w:bodyDiv w:val="1"/>
      <w:marLeft w:val="0pt"/>
      <w:marRight w:val="0pt"/>
      <w:marTop w:val="0pt"/>
      <w:marBottom w:val="0pt"/>
      <w:divBdr>
        <w:top w:val="none" w:sz="0" w:space="0" w:color="auto"/>
        <w:left w:val="none" w:sz="0" w:space="0" w:color="auto"/>
        <w:bottom w:val="none" w:sz="0" w:space="0" w:color="auto"/>
        <w:right w:val="none" w:sz="0" w:space="0" w:color="auto"/>
      </w:divBdr>
    </w:div>
    <w:div w:id="1066103389">
      <w:bodyDiv w:val="1"/>
      <w:marLeft w:val="0pt"/>
      <w:marRight w:val="0pt"/>
      <w:marTop w:val="0pt"/>
      <w:marBottom w:val="0pt"/>
      <w:divBdr>
        <w:top w:val="none" w:sz="0" w:space="0" w:color="auto"/>
        <w:left w:val="none" w:sz="0" w:space="0" w:color="auto"/>
        <w:bottom w:val="none" w:sz="0" w:space="0" w:color="auto"/>
        <w:right w:val="none" w:sz="0" w:space="0" w:color="auto"/>
      </w:divBdr>
    </w:div>
    <w:div w:id="1103299897">
      <w:bodyDiv w:val="1"/>
      <w:marLeft w:val="0pt"/>
      <w:marRight w:val="0pt"/>
      <w:marTop w:val="0pt"/>
      <w:marBottom w:val="0pt"/>
      <w:divBdr>
        <w:top w:val="none" w:sz="0" w:space="0" w:color="auto"/>
        <w:left w:val="none" w:sz="0" w:space="0" w:color="auto"/>
        <w:bottom w:val="none" w:sz="0" w:space="0" w:color="auto"/>
        <w:right w:val="none" w:sz="0" w:space="0" w:color="auto"/>
      </w:divBdr>
    </w:div>
    <w:div w:id="1126122320">
      <w:bodyDiv w:val="1"/>
      <w:marLeft w:val="0pt"/>
      <w:marRight w:val="0pt"/>
      <w:marTop w:val="0pt"/>
      <w:marBottom w:val="0pt"/>
      <w:divBdr>
        <w:top w:val="none" w:sz="0" w:space="0" w:color="auto"/>
        <w:left w:val="none" w:sz="0" w:space="0" w:color="auto"/>
        <w:bottom w:val="none" w:sz="0" w:space="0" w:color="auto"/>
        <w:right w:val="none" w:sz="0" w:space="0" w:color="auto"/>
      </w:divBdr>
    </w:div>
    <w:div w:id="1132408488">
      <w:bodyDiv w:val="1"/>
      <w:marLeft w:val="0pt"/>
      <w:marRight w:val="0pt"/>
      <w:marTop w:val="0pt"/>
      <w:marBottom w:val="0pt"/>
      <w:divBdr>
        <w:top w:val="none" w:sz="0" w:space="0" w:color="auto"/>
        <w:left w:val="none" w:sz="0" w:space="0" w:color="auto"/>
        <w:bottom w:val="none" w:sz="0" w:space="0" w:color="auto"/>
        <w:right w:val="none" w:sz="0" w:space="0" w:color="auto"/>
      </w:divBdr>
    </w:div>
    <w:div w:id="1133450577">
      <w:bodyDiv w:val="1"/>
      <w:marLeft w:val="0pt"/>
      <w:marRight w:val="0pt"/>
      <w:marTop w:val="0pt"/>
      <w:marBottom w:val="0pt"/>
      <w:divBdr>
        <w:top w:val="none" w:sz="0" w:space="0" w:color="auto"/>
        <w:left w:val="none" w:sz="0" w:space="0" w:color="auto"/>
        <w:bottom w:val="none" w:sz="0" w:space="0" w:color="auto"/>
        <w:right w:val="none" w:sz="0" w:space="0" w:color="auto"/>
      </w:divBdr>
    </w:div>
    <w:div w:id="1146162975">
      <w:bodyDiv w:val="1"/>
      <w:marLeft w:val="0pt"/>
      <w:marRight w:val="0pt"/>
      <w:marTop w:val="0pt"/>
      <w:marBottom w:val="0pt"/>
      <w:divBdr>
        <w:top w:val="none" w:sz="0" w:space="0" w:color="auto"/>
        <w:left w:val="none" w:sz="0" w:space="0" w:color="auto"/>
        <w:bottom w:val="none" w:sz="0" w:space="0" w:color="auto"/>
        <w:right w:val="none" w:sz="0" w:space="0" w:color="auto"/>
      </w:divBdr>
    </w:div>
    <w:div w:id="1180852559">
      <w:bodyDiv w:val="1"/>
      <w:marLeft w:val="0pt"/>
      <w:marRight w:val="0pt"/>
      <w:marTop w:val="0pt"/>
      <w:marBottom w:val="0pt"/>
      <w:divBdr>
        <w:top w:val="none" w:sz="0" w:space="0" w:color="auto"/>
        <w:left w:val="none" w:sz="0" w:space="0" w:color="auto"/>
        <w:bottom w:val="none" w:sz="0" w:space="0" w:color="auto"/>
        <w:right w:val="none" w:sz="0" w:space="0" w:color="auto"/>
      </w:divBdr>
    </w:div>
    <w:div w:id="1186670982">
      <w:bodyDiv w:val="1"/>
      <w:marLeft w:val="0pt"/>
      <w:marRight w:val="0pt"/>
      <w:marTop w:val="0pt"/>
      <w:marBottom w:val="0pt"/>
      <w:divBdr>
        <w:top w:val="none" w:sz="0" w:space="0" w:color="auto"/>
        <w:left w:val="none" w:sz="0" w:space="0" w:color="auto"/>
        <w:bottom w:val="none" w:sz="0" w:space="0" w:color="auto"/>
        <w:right w:val="none" w:sz="0" w:space="0" w:color="auto"/>
      </w:divBdr>
    </w:div>
    <w:div w:id="1216236395">
      <w:bodyDiv w:val="1"/>
      <w:marLeft w:val="0pt"/>
      <w:marRight w:val="0pt"/>
      <w:marTop w:val="0pt"/>
      <w:marBottom w:val="0pt"/>
      <w:divBdr>
        <w:top w:val="none" w:sz="0" w:space="0" w:color="auto"/>
        <w:left w:val="none" w:sz="0" w:space="0" w:color="auto"/>
        <w:bottom w:val="none" w:sz="0" w:space="0" w:color="auto"/>
        <w:right w:val="none" w:sz="0" w:space="0" w:color="auto"/>
      </w:divBdr>
    </w:div>
    <w:div w:id="1247108678">
      <w:bodyDiv w:val="1"/>
      <w:marLeft w:val="0pt"/>
      <w:marRight w:val="0pt"/>
      <w:marTop w:val="0pt"/>
      <w:marBottom w:val="0pt"/>
      <w:divBdr>
        <w:top w:val="none" w:sz="0" w:space="0" w:color="auto"/>
        <w:left w:val="none" w:sz="0" w:space="0" w:color="auto"/>
        <w:bottom w:val="none" w:sz="0" w:space="0" w:color="auto"/>
        <w:right w:val="none" w:sz="0" w:space="0" w:color="auto"/>
      </w:divBdr>
    </w:div>
    <w:div w:id="1278104209">
      <w:bodyDiv w:val="1"/>
      <w:marLeft w:val="0pt"/>
      <w:marRight w:val="0pt"/>
      <w:marTop w:val="0pt"/>
      <w:marBottom w:val="0pt"/>
      <w:divBdr>
        <w:top w:val="none" w:sz="0" w:space="0" w:color="auto"/>
        <w:left w:val="none" w:sz="0" w:space="0" w:color="auto"/>
        <w:bottom w:val="none" w:sz="0" w:space="0" w:color="auto"/>
        <w:right w:val="none" w:sz="0" w:space="0" w:color="auto"/>
      </w:divBdr>
    </w:div>
    <w:div w:id="1348605039">
      <w:bodyDiv w:val="1"/>
      <w:marLeft w:val="0pt"/>
      <w:marRight w:val="0pt"/>
      <w:marTop w:val="0pt"/>
      <w:marBottom w:val="0pt"/>
      <w:divBdr>
        <w:top w:val="none" w:sz="0" w:space="0" w:color="auto"/>
        <w:left w:val="none" w:sz="0" w:space="0" w:color="auto"/>
        <w:bottom w:val="none" w:sz="0" w:space="0" w:color="auto"/>
        <w:right w:val="none" w:sz="0" w:space="0" w:color="auto"/>
      </w:divBdr>
    </w:div>
    <w:div w:id="13593528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58827741">
          <w:marLeft w:val="58.30pt"/>
          <w:marRight w:val="0pt"/>
          <w:marTop w:val="4.80pt"/>
          <w:marBottom w:val="0pt"/>
          <w:divBdr>
            <w:top w:val="none" w:sz="0" w:space="0" w:color="auto"/>
            <w:left w:val="none" w:sz="0" w:space="0" w:color="auto"/>
            <w:bottom w:val="none" w:sz="0" w:space="0" w:color="auto"/>
            <w:right w:val="none" w:sz="0" w:space="0" w:color="auto"/>
          </w:divBdr>
        </w:div>
        <w:div w:id="1636637773">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378747937">
      <w:bodyDiv w:val="1"/>
      <w:marLeft w:val="0pt"/>
      <w:marRight w:val="0pt"/>
      <w:marTop w:val="0pt"/>
      <w:marBottom w:val="0pt"/>
      <w:divBdr>
        <w:top w:val="none" w:sz="0" w:space="0" w:color="auto"/>
        <w:left w:val="none" w:sz="0" w:space="0" w:color="auto"/>
        <w:bottom w:val="none" w:sz="0" w:space="0" w:color="auto"/>
        <w:right w:val="none" w:sz="0" w:space="0" w:color="auto"/>
      </w:divBdr>
    </w:div>
    <w:div w:id="1457334511">
      <w:bodyDiv w:val="1"/>
      <w:marLeft w:val="0pt"/>
      <w:marRight w:val="0pt"/>
      <w:marTop w:val="0pt"/>
      <w:marBottom w:val="0pt"/>
      <w:divBdr>
        <w:top w:val="none" w:sz="0" w:space="0" w:color="auto"/>
        <w:left w:val="none" w:sz="0" w:space="0" w:color="auto"/>
        <w:bottom w:val="none" w:sz="0" w:space="0" w:color="auto"/>
        <w:right w:val="none" w:sz="0" w:space="0" w:color="auto"/>
      </w:divBdr>
    </w:div>
    <w:div w:id="1484614552">
      <w:bodyDiv w:val="1"/>
      <w:marLeft w:val="0pt"/>
      <w:marRight w:val="0pt"/>
      <w:marTop w:val="0pt"/>
      <w:marBottom w:val="0pt"/>
      <w:divBdr>
        <w:top w:val="none" w:sz="0" w:space="0" w:color="auto"/>
        <w:left w:val="none" w:sz="0" w:space="0" w:color="auto"/>
        <w:bottom w:val="none" w:sz="0" w:space="0" w:color="auto"/>
        <w:right w:val="none" w:sz="0" w:space="0" w:color="auto"/>
      </w:divBdr>
    </w:div>
    <w:div w:id="1497645613">
      <w:bodyDiv w:val="1"/>
      <w:marLeft w:val="0pt"/>
      <w:marRight w:val="0pt"/>
      <w:marTop w:val="0pt"/>
      <w:marBottom w:val="0pt"/>
      <w:divBdr>
        <w:top w:val="none" w:sz="0" w:space="0" w:color="auto"/>
        <w:left w:val="none" w:sz="0" w:space="0" w:color="auto"/>
        <w:bottom w:val="none" w:sz="0" w:space="0" w:color="auto"/>
        <w:right w:val="none" w:sz="0" w:space="0" w:color="auto"/>
      </w:divBdr>
    </w:div>
    <w:div w:id="1555460384">
      <w:bodyDiv w:val="1"/>
      <w:marLeft w:val="0pt"/>
      <w:marRight w:val="0pt"/>
      <w:marTop w:val="0pt"/>
      <w:marBottom w:val="0pt"/>
      <w:divBdr>
        <w:top w:val="none" w:sz="0" w:space="0" w:color="auto"/>
        <w:left w:val="none" w:sz="0" w:space="0" w:color="auto"/>
        <w:bottom w:val="none" w:sz="0" w:space="0" w:color="auto"/>
        <w:right w:val="none" w:sz="0" w:space="0" w:color="auto"/>
      </w:divBdr>
    </w:div>
    <w:div w:id="1571042044">
      <w:bodyDiv w:val="1"/>
      <w:marLeft w:val="0pt"/>
      <w:marRight w:val="0pt"/>
      <w:marTop w:val="0pt"/>
      <w:marBottom w:val="0pt"/>
      <w:divBdr>
        <w:top w:val="none" w:sz="0" w:space="0" w:color="auto"/>
        <w:left w:val="none" w:sz="0" w:space="0" w:color="auto"/>
        <w:bottom w:val="none" w:sz="0" w:space="0" w:color="auto"/>
        <w:right w:val="none" w:sz="0" w:space="0" w:color="auto"/>
      </w:divBdr>
    </w:div>
    <w:div w:id="1619801529">
      <w:bodyDiv w:val="1"/>
      <w:marLeft w:val="0pt"/>
      <w:marRight w:val="0pt"/>
      <w:marTop w:val="0pt"/>
      <w:marBottom w:val="0pt"/>
      <w:divBdr>
        <w:top w:val="none" w:sz="0" w:space="0" w:color="auto"/>
        <w:left w:val="none" w:sz="0" w:space="0" w:color="auto"/>
        <w:bottom w:val="none" w:sz="0" w:space="0" w:color="auto"/>
        <w:right w:val="none" w:sz="0" w:space="0" w:color="auto"/>
      </w:divBdr>
    </w:div>
    <w:div w:id="1662997973">
      <w:bodyDiv w:val="1"/>
      <w:marLeft w:val="0pt"/>
      <w:marRight w:val="0pt"/>
      <w:marTop w:val="0pt"/>
      <w:marBottom w:val="0pt"/>
      <w:divBdr>
        <w:top w:val="none" w:sz="0" w:space="0" w:color="auto"/>
        <w:left w:val="none" w:sz="0" w:space="0" w:color="auto"/>
        <w:bottom w:val="none" w:sz="0" w:space="0" w:color="auto"/>
        <w:right w:val="none" w:sz="0" w:space="0" w:color="auto"/>
      </w:divBdr>
    </w:div>
    <w:div w:id="1678651193">
      <w:bodyDiv w:val="1"/>
      <w:marLeft w:val="0pt"/>
      <w:marRight w:val="0pt"/>
      <w:marTop w:val="0pt"/>
      <w:marBottom w:val="0pt"/>
      <w:divBdr>
        <w:top w:val="none" w:sz="0" w:space="0" w:color="auto"/>
        <w:left w:val="none" w:sz="0" w:space="0" w:color="auto"/>
        <w:bottom w:val="none" w:sz="0" w:space="0" w:color="auto"/>
        <w:right w:val="none" w:sz="0" w:space="0" w:color="auto"/>
      </w:divBdr>
    </w:div>
    <w:div w:id="1697805757">
      <w:bodyDiv w:val="1"/>
      <w:marLeft w:val="0pt"/>
      <w:marRight w:val="0pt"/>
      <w:marTop w:val="0pt"/>
      <w:marBottom w:val="0pt"/>
      <w:divBdr>
        <w:top w:val="none" w:sz="0" w:space="0" w:color="auto"/>
        <w:left w:val="none" w:sz="0" w:space="0" w:color="auto"/>
        <w:bottom w:val="none" w:sz="0" w:space="0" w:color="auto"/>
        <w:right w:val="none" w:sz="0" w:space="0" w:color="auto"/>
      </w:divBdr>
    </w:div>
    <w:div w:id="1707873399">
      <w:bodyDiv w:val="1"/>
      <w:marLeft w:val="0pt"/>
      <w:marRight w:val="0pt"/>
      <w:marTop w:val="0pt"/>
      <w:marBottom w:val="0pt"/>
      <w:divBdr>
        <w:top w:val="none" w:sz="0" w:space="0" w:color="auto"/>
        <w:left w:val="none" w:sz="0" w:space="0" w:color="auto"/>
        <w:bottom w:val="none" w:sz="0" w:space="0" w:color="auto"/>
        <w:right w:val="none" w:sz="0" w:space="0" w:color="auto"/>
      </w:divBdr>
    </w:div>
    <w:div w:id="17598623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59344034">
          <w:marLeft w:val="58.30pt"/>
          <w:marRight w:val="0pt"/>
          <w:marTop w:val="4.80pt"/>
          <w:marBottom w:val="0pt"/>
          <w:divBdr>
            <w:top w:val="none" w:sz="0" w:space="0" w:color="auto"/>
            <w:left w:val="none" w:sz="0" w:space="0" w:color="auto"/>
            <w:bottom w:val="none" w:sz="0" w:space="0" w:color="auto"/>
            <w:right w:val="none" w:sz="0" w:space="0" w:color="auto"/>
          </w:divBdr>
        </w:div>
        <w:div w:id="1968000321">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764379713">
      <w:bodyDiv w:val="1"/>
      <w:marLeft w:val="0pt"/>
      <w:marRight w:val="0pt"/>
      <w:marTop w:val="0pt"/>
      <w:marBottom w:val="0pt"/>
      <w:divBdr>
        <w:top w:val="none" w:sz="0" w:space="0" w:color="auto"/>
        <w:left w:val="none" w:sz="0" w:space="0" w:color="auto"/>
        <w:bottom w:val="none" w:sz="0" w:space="0" w:color="auto"/>
        <w:right w:val="none" w:sz="0" w:space="0" w:color="auto"/>
      </w:divBdr>
    </w:div>
    <w:div w:id="1768846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1715188">
          <w:marLeft w:val="0pt"/>
          <w:marRight w:val="0pt"/>
          <w:marTop w:val="0pt"/>
          <w:marBottom w:val="0pt"/>
          <w:divBdr>
            <w:top w:val="none" w:sz="0" w:space="0" w:color="auto"/>
            <w:left w:val="none" w:sz="0" w:space="0" w:color="auto"/>
            <w:bottom w:val="none" w:sz="0" w:space="0" w:color="auto"/>
            <w:right w:val="none" w:sz="0" w:space="0" w:color="auto"/>
          </w:divBdr>
        </w:div>
      </w:divsChild>
    </w:div>
    <w:div w:id="1785156146">
      <w:bodyDiv w:val="1"/>
      <w:marLeft w:val="0pt"/>
      <w:marRight w:val="0pt"/>
      <w:marTop w:val="0pt"/>
      <w:marBottom w:val="0pt"/>
      <w:divBdr>
        <w:top w:val="none" w:sz="0" w:space="0" w:color="auto"/>
        <w:left w:val="none" w:sz="0" w:space="0" w:color="auto"/>
        <w:bottom w:val="none" w:sz="0" w:space="0" w:color="auto"/>
        <w:right w:val="none" w:sz="0" w:space="0" w:color="auto"/>
      </w:divBdr>
    </w:div>
    <w:div w:id="1825391731">
      <w:bodyDiv w:val="1"/>
      <w:marLeft w:val="0pt"/>
      <w:marRight w:val="0pt"/>
      <w:marTop w:val="0pt"/>
      <w:marBottom w:val="0pt"/>
      <w:divBdr>
        <w:top w:val="none" w:sz="0" w:space="0" w:color="auto"/>
        <w:left w:val="none" w:sz="0" w:space="0" w:color="auto"/>
        <w:bottom w:val="none" w:sz="0" w:space="0" w:color="auto"/>
        <w:right w:val="none" w:sz="0" w:space="0" w:color="auto"/>
      </w:divBdr>
    </w:div>
    <w:div w:id="1898125761">
      <w:bodyDiv w:val="1"/>
      <w:marLeft w:val="0pt"/>
      <w:marRight w:val="0pt"/>
      <w:marTop w:val="0pt"/>
      <w:marBottom w:val="0pt"/>
      <w:divBdr>
        <w:top w:val="none" w:sz="0" w:space="0" w:color="auto"/>
        <w:left w:val="none" w:sz="0" w:space="0" w:color="auto"/>
        <w:bottom w:val="none" w:sz="0" w:space="0" w:color="auto"/>
        <w:right w:val="none" w:sz="0" w:space="0" w:color="auto"/>
      </w:divBdr>
    </w:div>
    <w:div w:id="192179573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5323929">
          <w:marLeft w:val="58.30pt"/>
          <w:marRight w:val="0pt"/>
          <w:marTop w:val="4.80pt"/>
          <w:marBottom w:val="0pt"/>
          <w:divBdr>
            <w:top w:val="none" w:sz="0" w:space="0" w:color="auto"/>
            <w:left w:val="none" w:sz="0" w:space="0" w:color="auto"/>
            <w:bottom w:val="none" w:sz="0" w:space="0" w:color="auto"/>
            <w:right w:val="none" w:sz="0" w:space="0" w:color="auto"/>
          </w:divBdr>
        </w:div>
        <w:div w:id="697392851">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936204699">
      <w:bodyDiv w:val="1"/>
      <w:marLeft w:val="0pt"/>
      <w:marRight w:val="0pt"/>
      <w:marTop w:val="0pt"/>
      <w:marBottom w:val="0pt"/>
      <w:divBdr>
        <w:top w:val="none" w:sz="0" w:space="0" w:color="auto"/>
        <w:left w:val="none" w:sz="0" w:space="0" w:color="auto"/>
        <w:bottom w:val="none" w:sz="0" w:space="0" w:color="auto"/>
        <w:right w:val="none" w:sz="0" w:space="0" w:color="auto"/>
      </w:divBdr>
    </w:div>
    <w:div w:id="2015300994">
      <w:bodyDiv w:val="1"/>
      <w:marLeft w:val="0pt"/>
      <w:marRight w:val="0pt"/>
      <w:marTop w:val="0pt"/>
      <w:marBottom w:val="0pt"/>
      <w:divBdr>
        <w:top w:val="none" w:sz="0" w:space="0" w:color="auto"/>
        <w:left w:val="none" w:sz="0" w:space="0" w:color="auto"/>
        <w:bottom w:val="none" w:sz="0" w:space="0" w:color="auto"/>
        <w:right w:val="none" w:sz="0" w:space="0" w:color="auto"/>
      </w:divBdr>
    </w:div>
    <w:div w:id="2019846318">
      <w:bodyDiv w:val="1"/>
      <w:marLeft w:val="0pt"/>
      <w:marRight w:val="0pt"/>
      <w:marTop w:val="0pt"/>
      <w:marBottom w:val="0pt"/>
      <w:divBdr>
        <w:top w:val="none" w:sz="0" w:space="0" w:color="auto"/>
        <w:left w:val="none" w:sz="0" w:space="0" w:color="auto"/>
        <w:bottom w:val="none" w:sz="0" w:space="0" w:color="auto"/>
        <w:right w:val="none" w:sz="0" w:space="0" w:color="auto"/>
      </w:divBdr>
    </w:div>
    <w:div w:id="2087338489">
      <w:bodyDiv w:val="1"/>
      <w:marLeft w:val="0pt"/>
      <w:marRight w:val="0pt"/>
      <w:marTop w:val="0pt"/>
      <w:marBottom w:val="0pt"/>
      <w:divBdr>
        <w:top w:val="none" w:sz="0" w:space="0" w:color="auto"/>
        <w:left w:val="none" w:sz="0" w:space="0" w:color="auto"/>
        <w:bottom w:val="none" w:sz="0" w:space="0" w:color="auto"/>
        <w:right w:val="none" w:sz="0" w:space="0" w:color="auto"/>
      </w:divBdr>
    </w:div>
    <w:div w:id="2088988809">
      <w:bodyDiv w:val="1"/>
      <w:marLeft w:val="0pt"/>
      <w:marRight w:val="0pt"/>
      <w:marTop w:val="0pt"/>
      <w:marBottom w:val="0pt"/>
      <w:divBdr>
        <w:top w:val="none" w:sz="0" w:space="0" w:color="auto"/>
        <w:left w:val="none" w:sz="0" w:space="0" w:color="auto"/>
        <w:bottom w:val="none" w:sz="0" w:space="0" w:color="auto"/>
        <w:right w:val="none" w:sz="0" w:space="0" w:color="auto"/>
      </w:divBdr>
    </w:div>
    <w:div w:id="2113355366">
      <w:bodyDiv w:val="1"/>
      <w:marLeft w:val="0pt"/>
      <w:marRight w:val="0pt"/>
      <w:marTop w:val="0pt"/>
      <w:marBottom w:val="0pt"/>
      <w:divBdr>
        <w:top w:val="none" w:sz="0" w:space="0" w:color="auto"/>
        <w:left w:val="none" w:sz="0" w:space="0" w:color="auto"/>
        <w:bottom w:val="none" w:sz="0" w:space="0" w:color="auto"/>
        <w:right w:val="none" w:sz="0" w:space="0" w:color="auto"/>
      </w:divBdr>
    </w:div>
    <w:div w:id="2141996721">
      <w:bodyDiv w:val="1"/>
      <w:marLeft w:val="0pt"/>
      <w:marRight w:val="0pt"/>
      <w:marTop w:val="0pt"/>
      <w:marBottom w:val="0pt"/>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purl.oclc.org/ooxml/officeDocument/relationships/settings" Target="settings.xml"/><Relationship Id="rId13" Type="http://purl.oclc.org/ooxml/officeDocument/relationships/header" Target="header2.xml"/><Relationship Id="rId18" Type="http://purl.oclc.org/ooxml/officeDocument/relationships/fontTable" Target="fontTable.xml"/><Relationship Id="rId3" Type="http://purl.oclc.org/ooxml/officeDocument/relationships/customXml" Target="../customXml/item3.xml"/><Relationship Id="rId7" Type="http://purl.oclc.org/ooxml/officeDocument/relationships/styles" Target="styles.xml"/><Relationship Id="rId12" Type="http://purl.oclc.org/ooxml/officeDocument/relationships/header" Target="header1.xml"/><Relationship Id="rId17" Type="http://purl.oclc.org/ooxml/officeDocument/relationships/footer" Target="footer3.xml"/><Relationship Id="rId2" Type="http://purl.oclc.org/ooxml/officeDocument/relationships/customXml" Target="../customXml/item2.xml"/><Relationship Id="rId16" Type="http://purl.oclc.org/ooxml/officeDocument/relationships/header" Target="header3.xml"/><Relationship Id="rId1" Type="http://purl.oclc.org/ooxml/officeDocument/relationships/customXml" Target="../customXml/item1.xml"/><Relationship Id="rId6" Type="http://purl.oclc.org/ooxml/officeDocument/relationships/numbering" Target="numbering.xml"/><Relationship Id="rId11" Type="http://purl.oclc.org/ooxml/officeDocument/relationships/endnotes" Target="endnotes.xml"/><Relationship Id="rId5" Type="http://purl.oclc.org/ooxml/officeDocument/relationships/customXml" Target="../customXml/item5.xml"/><Relationship Id="rId15" Type="http://purl.oclc.org/ooxml/officeDocument/relationships/footer" Target="footer2.xml"/><Relationship Id="rId10" Type="http://purl.oclc.org/ooxml/officeDocument/relationships/footnotes" Target="footnotes.xml"/><Relationship Id="rId19" Type="http://purl.oclc.org/ooxml/officeDocument/relationships/theme" Target="theme/theme1.xml"/><Relationship Id="rId4" Type="http://purl.oclc.org/ooxml/officeDocument/relationships/customXml" Target="../customXml/item4.xml"/><Relationship Id="rId9" Type="http://purl.oclc.org/ooxml/officeDocument/relationships/webSettings" Target="webSettings.xml"/><Relationship Id="rId14" Type="http://purl.oclc.org/ooxml/officeDocument/relationships/footer" Target="footer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83AEF77BC0B049B2559A965784EC3D" ma:contentTypeVersion="11" ma:contentTypeDescription="Create a new document." ma:contentTypeScope="" ma:versionID="98b43587ce9466aa063dd029d72599da">
  <xsd:schema xmlns:xsd="http://www.w3.org/2001/XMLSchema" xmlns:xs="http://www.w3.org/2001/XMLSchema" xmlns:p="http://schemas.microsoft.com/office/2006/metadata/properties" xmlns:ns3="0815ca10-04bc-4820-81d0-46242a1f5e94" xmlns:ns4="f4465172-beb1-44e4-b894-5f04148b52a9" targetNamespace="http://schemas.microsoft.com/office/2006/metadata/properties" ma:root="true" ma:fieldsID="68172979e8662955a9a9d4faeeb8f489" ns3:_="" ns4:_="">
    <xsd:import namespace="0815ca10-04bc-4820-81d0-46242a1f5e94"/>
    <xsd:import namespace="f4465172-beb1-44e4-b894-5f04148b52a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5ca10-04bc-4820-81d0-46242a1f5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465172-beb1-44e4-b894-5f04148b52a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7357124C-0D7B-407F-AAB9-B20ADD871473}">
  <ds:schemaRefs>
    <ds:schemaRef ds:uri="http://schemas.microsoft.com/office/2006/metadata/properties"/>
    <ds:schemaRef ds:uri="http://schemas.microsoft.com/office/infopath/2007/PartnerControls"/>
  </ds:schemaRefs>
</ds:datastoreItem>
</file>

<file path=customXml/itemProps2.xml><?xml version="1.0" encoding="utf-8"?>
<ds:datastoreItem xmlns:ds="http://purl.oclc.org/ooxml/officeDocument/customXml" ds:itemID="{8FA893D5-9A25-416C-8E55-88C0976F8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5ca10-04bc-4820-81d0-46242a1f5e94"/>
    <ds:schemaRef ds:uri="f4465172-beb1-44e4-b894-5f04148b52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89B265A1-7E88-42D3-8BAC-09F672DA2D29}">
  <ds:schemaRefs>
    <ds:schemaRef ds:uri="http://schemas.microsoft.com/sharepoint/v3/contenttype/forms"/>
  </ds:schemaRefs>
</ds:datastoreItem>
</file>

<file path=customXml/itemProps4.xml><?xml version="1.0" encoding="utf-8"?>
<ds:datastoreItem xmlns:ds="http://purl.oclc.org/ooxml/officeDocument/customXml" ds:itemID="{143B975C-8E27-4870-B65A-72145777B164}">
  <ds:schemaRefs>
    <ds:schemaRef ds:uri="http://schemas.microsoft.com/office/2006/metadata/longProperties"/>
  </ds:schemaRefs>
</ds:datastoreItem>
</file>

<file path=customXml/itemProps5.xml><?xml version="1.0" encoding="utf-8"?>
<ds:datastoreItem xmlns:ds="http://purl.oclc.org/ooxml/officeDocument/customXml" ds:itemID="{DEFE5B52-2094-42AF-A8A2-0A552716E624}">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13</TotalTime>
  <Pages>3</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 - Sherif Elazzouni</cp:lastModifiedBy>
  <cp:revision>5</cp:revision>
  <cp:lastPrinted>2020-08-06T23:03:00Z</cp:lastPrinted>
  <dcterms:created xsi:type="dcterms:W3CDTF">2023-05-08T23:19:00Z</dcterms:created>
  <dcterms:modified xsi:type="dcterms:W3CDTF">2023-05-11T22:50:00Z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dlc_DocId">
    <vt:lpwstr>3EQ6UJ4K66FU-116443906-38064</vt:lpwstr>
  </property>
  <property fmtid="{D5CDD505-2E9C-101B-9397-08002B2CF9AE}" pid="4" name="_dlc_DocIdItemGuid">
    <vt:lpwstr>06f80ef2-81b8-4d1f-a29c-512a65e376c1</vt:lpwstr>
  </property>
  <property fmtid="{D5CDD505-2E9C-101B-9397-08002B2CF9AE}" pid="5" name="_dlc_DocIdUrl">
    <vt:lpwstr>https://projects.qualcomm.com/sites/meridian/_layouts/15/DocIdRedir.aspx?ID=3EQ6UJ4K66FU-116443906-38064, 3EQ6UJ4K66FU-116443906-38064</vt:lpwstr>
  </property>
  <property fmtid="{D5CDD505-2E9C-101B-9397-08002B2CF9AE}" pid="6" name="IconOverlay">
    <vt:lpwstr/>
  </property>
  <property fmtid="{D5CDD505-2E9C-101B-9397-08002B2CF9AE}" pid="7" name="ContentTypeId">
    <vt:lpwstr>0x010100C883AEF77BC0B049B2559A965784EC3D</vt:lpwstr>
  </property>
</Properties>
</file>